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3888836" w:rsidR="00F110CD" w:rsidRPr="008F0F05" w:rsidRDefault="00F110CD" w:rsidP="00F110CD">
      <w:pPr>
        <w:pStyle w:val="Header"/>
        <w:tabs>
          <w:tab w:val="right" w:pos="9639"/>
        </w:tabs>
        <w:rPr>
          <w:bCs/>
          <w:noProof w:val="0"/>
          <w:sz w:val="24"/>
          <w:szCs w:val="24"/>
        </w:rPr>
      </w:pPr>
      <w:bookmarkStart w:id="0" w:name="_Hlk37418177"/>
      <w:r w:rsidRPr="008F0F05">
        <w:rPr>
          <w:bCs/>
          <w:noProof w:val="0"/>
          <w:sz w:val="24"/>
          <w:szCs w:val="24"/>
        </w:rPr>
        <w:t>3GPP TSG RA</w:t>
      </w:r>
      <w:r w:rsidR="00BA1872" w:rsidRPr="008F0F05">
        <w:rPr>
          <w:bCs/>
          <w:noProof w:val="0"/>
          <w:sz w:val="24"/>
          <w:szCs w:val="24"/>
        </w:rPr>
        <w:t>N</w:t>
      </w:r>
      <w:r w:rsidR="00F801E0">
        <w:rPr>
          <w:bCs/>
          <w:noProof w:val="0"/>
          <w:sz w:val="24"/>
          <w:szCs w:val="24"/>
        </w:rPr>
        <w:t xml:space="preserve"> meeting</w:t>
      </w:r>
      <w:r w:rsidR="00BA1872" w:rsidRPr="008F0F05">
        <w:rPr>
          <w:bCs/>
          <w:noProof w:val="0"/>
          <w:sz w:val="24"/>
          <w:szCs w:val="24"/>
        </w:rPr>
        <w:t xml:space="preserve"> </w:t>
      </w:r>
      <w:r w:rsidR="00B65452" w:rsidRPr="008F0F05">
        <w:rPr>
          <w:bCs/>
          <w:noProof w:val="0"/>
          <w:sz w:val="24"/>
          <w:szCs w:val="24"/>
        </w:rPr>
        <w:t>#</w:t>
      </w:r>
      <w:r w:rsidR="00F801E0">
        <w:rPr>
          <w:bCs/>
          <w:noProof w:val="0"/>
          <w:sz w:val="24"/>
          <w:szCs w:val="24"/>
        </w:rPr>
        <w:t>89</w:t>
      </w:r>
      <w:r w:rsidR="001348FE" w:rsidRPr="008F0F05">
        <w:rPr>
          <w:bCs/>
          <w:noProof w:val="0"/>
          <w:sz w:val="24"/>
          <w:szCs w:val="24"/>
        </w:rPr>
        <w:tab/>
      </w:r>
      <w:r w:rsidR="00BA1872" w:rsidRPr="008F0F05">
        <w:rPr>
          <w:bCs/>
          <w:noProof w:val="0"/>
          <w:sz w:val="24"/>
          <w:szCs w:val="24"/>
        </w:rPr>
        <w:t>R</w:t>
      </w:r>
      <w:r w:rsidR="00F801E0">
        <w:rPr>
          <w:bCs/>
          <w:noProof w:val="0"/>
          <w:sz w:val="24"/>
          <w:szCs w:val="24"/>
        </w:rPr>
        <w:t>P</w:t>
      </w:r>
      <w:r w:rsidR="00BA1872" w:rsidRPr="008F0F05">
        <w:rPr>
          <w:bCs/>
          <w:noProof w:val="0"/>
          <w:sz w:val="24"/>
          <w:szCs w:val="24"/>
        </w:rPr>
        <w:t>-</w:t>
      </w:r>
      <w:r w:rsidR="00191E79" w:rsidRPr="008F0F05">
        <w:rPr>
          <w:bCs/>
          <w:noProof w:val="0"/>
          <w:sz w:val="24"/>
          <w:szCs w:val="24"/>
        </w:rPr>
        <w:t>2</w:t>
      </w:r>
      <w:r w:rsidR="00A11FFC" w:rsidRPr="008F0F05">
        <w:rPr>
          <w:bCs/>
          <w:noProof w:val="0"/>
          <w:sz w:val="24"/>
          <w:szCs w:val="24"/>
        </w:rPr>
        <w:t>0</w:t>
      </w:r>
      <w:r w:rsidR="00F801E0">
        <w:rPr>
          <w:bCs/>
          <w:noProof w:val="0"/>
          <w:sz w:val="24"/>
          <w:szCs w:val="24"/>
        </w:rPr>
        <w:t>1761</w:t>
      </w:r>
    </w:p>
    <w:p w14:paraId="30E02940" w14:textId="310C535D" w:rsidR="00CA26CE" w:rsidRDefault="002778BD" w:rsidP="00CA26CE">
      <w:pPr>
        <w:pStyle w:val="Header"/>
        <w:rPr>
          <w:bCs/>
          <w:noProof w:val="0"/>
          <w:sz w:val="24"/>
          <w:szCs w:val="24"/>
        </w:rPr>
      </w:pPr>
      <w:r w:rsidRPr="008F0F05">
        <w:rPr>
          <w:bCs/>
          <w:noProof w:val="0"/>
          <w:sz w:val="24"/>
          <w:szCs w:val="24"/>
        </w:rPr>
        <w:t>e-Meeting,</w:t>
      </w:r>
      <w:r w:rsidR="00F801E0">
        <w:rPr>
          <w:bCs/>
          <w:noProof w:val="0"/>
          <w:sz w:val="24"/>
          <w:szCs w:val="24"/>
        </w:rPr>
        <w:t xml:space="preserve"> September</w:t>
      </w:r>
      <w:r w:rsidR="004A77B1" w:rsidRPr="008F0F05">
        <w:rPr>
          <w:bCs/>
          <w:noProof w:val="0"/>
          <w:sz w:val="24"/>
          <w:szCs w:val="24"/>
        </w:rPr>
        <w:t xml:space="preserve"> </w:t>
      </w:r>
      <w:r w:rsidR="00F801E0">
        <w:rPr>
          <w:bCs/>
          <w:noProof w:val="0"/>
          <w:sz w:val="24"/>
          <w:szCs w:val="24"/>
        </w:rPr>
        <w:t>14</w:t>
      </w:r>
      <w:r w:rsidR="004A77B1" w:rsidRPr="008F0F05">
        <w:rPr>
          <w:bCs/>
          <w:noProof w:val="0"/>
          <w:sz w:val="24"/>
          <w:szCs w:val="24"/>
          <w:vertAlign w:val="superscript"/>
        </w:rPr>
        <w:t>th</w:t>
      </w:r>
      <w:r w:rsidR="004A77B1" w:rsidRPr="008F0F05">
        <w:rPr>
          <w:bCs/>
          <w:noProof w:val="0"/>
          <w:sz w:val="24"/>
          <w:szCs w:val="24"/>
        </w:rPr>
        <w:t xml:space="preserve"> </w:t>
      </w:r>
      <w:r w:rsidR="00451BAE" w:rsidRPr="008F0F05">
        <w:rPr>
          <w:bCs/>
          <w:noProof w:val="0"/>
          <w:sz w:val="24"/>
          <w:szCs w:val="24"/>
        </w:rPr>
        <w:t xml:space="preserve">– </w:t>
      </w:r>
      <w:r w:rsidR="00F801E0">
        <w:rPr>
          <w:bCs/>
          <w:noProof w:val="0"/>
          <w:sz w:val="24"/>
          <w:szCs w:val="24"/>
        </w:rPr>
        <w:t>1</w:t>
      </w:r>
      <w:r w:rsidR="008F0F05" w:rsidRPr="008F0F05">
        <w:rPr>
          <w:bCs/>
          <w:noProof w:val="0"/>
          <w:sz w:val="24"/>
          <w:szCs w:val="24"/>
        </w:rPr>
        <w:t>8</w:t>
      </w:r>
      <w:r w:rsidRPr="008F0F05">
        <w:rPr>
          <w:bCs/>
          <w:noProof w:val="0"/>
          <w:sz w:val="24"/>
          <w:szCs w:val="24"/>
          <w:vertAlign w:val="superscript"/>
        </w:rPr>
        <w:t>th</w:t>
      </w:r>
      <w:r w:rsidRPr="008F0F05">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431760A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801E0">
        <w:rPr>
          <w:rFonts w:cs="Arial"/>
          <w:b/>
          <w:bCs/>
          <w:sz w:val="24"/>
          <w:szCs w:val="24"/>
        </w:rPr>
        <w:t>9.8.4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2F1576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F0F05" w:rsidRPr="008F0F05">
        <w:rPr>
          <w:rFonts w:ascii="Arial" w:hAnsi="Arial" w:cs="Arial"/>
          <w:b/>
          <w:bCs/>
          <w:sz w:val="24"/>
        </w:rPr>
        <w:t>Extension of the Dynamic Spectrum Sharing (DSS) WID</w:t>
      </w:r>
    </w:p>
    <w:p w14:paraId="30E02944" w14:textId="6C5FD242"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F0F05">
        <w:rPr>
          <w:rFonts w:ascii="Arial" w:hAnsi="Arial" w:cs="Arial"/>
          <w:b/>
          <w:bCs/>
          <w:sz w:val="24"/>
          <w:szCs w:val="24"/>
        </w:rPr>
        <w:t>Discussion</w:t>
      </w:r>
    </w:p>
    <w:p w14:paraId="7CF7938E" w14:textId="7E19F756" w:rsidR="00ED1327" w:rsidRPr="00ED1327" w:rsidRDefault="00EE7FA7" w:rsidP="00ED1327">
      <w:pPr>
        <w:pStyle w:val="Heading1"/>
      </w:pPr>
      <w:r w:rsidRPr="0016316A">
        <w:t>Introduction</w:t>
      </w:r>
    </w:p>
    <w:p w14:paraId="0EF085F2" w14:textId="1FC66425" w:rsidR="004A77B1" w:rsidRDefault="004A77B1" w:rsidP="00A64A6E">
      <w:bookmarkStart w:id="1" w:name="_Hlk510705081"/>
      <w:r>
        <w:t>RAN</w:t>
      </w:r>
      <w:r w:rsidR="003A7127">
        <w:t>#86 approved a DSS WI for Release 17 with the following objective</w:t>
      </w:r>
      <w:r w:rsidR="00842A32">
        <w:t>s</w:t>
      </w:r>
      <w:r w:rsidR="003A7127">
        <w:t xml:space="preserve"> [1]:</w:t>
      </w:r>
    </w:p>
    <w:tbl>
      <w:tblPr>
        <w:tblStyle w:val="TableGrid"/>
        <w:tblW w:w="0" w:type="auto"/>
        <w:tblLook w:val="04A0" w:firstRow="1" w:lastRow="0" w:firstColumn="1" w:lastColumn="0" w:noHBand="0" w:noVBand="1"/>
      </w:tblPr>
      <w:tblGrid>
        <w:gridCol w:w="9629"/>
      </w:tblGrid>
      <w:tr w:rsidR="003A7127" w14:paraId="615EE648" w14:textId="77777777" w:rsidTr="003A7127">
        <w:tc>
          <w:tcPr>
            <w:tcW w:w="9629" w:type="dxa"/>
          </w:tcPr>
          <w:p w14:paraId="2A2E6D1F" w14:textId="77777777" w:rsidR="003A7127" w:rsidRDefault="003A7127" w:rsidP="003A7127">
            <w:pPr>
              <w:spacing w:after="0"/>
              <w:rPr>
                <w:lang w:val="en-US"/>
              </w:rPr>
            </w:pPr>
            <w:r>
              <w:t>This work item is limited to FR1, and includes the following objectives for NR Dynamic Spectrum Sharing (DSS):</w:t>
            </w:r>
          </w:p>
          <w:p w14:paraId="521D043E" w14:textId="77777777" w:rsidR="003A7127" w:rsidRPr="0047624C" w:rsidRDefault="003A7127" w:rsidP="003A7127">
            <w:pPr>
              <w:numPr>
                <w:ilvl w:val="0"/>
                <w:numId w:val="28"/>
              </w:numPr>
              <w:overflowPunct/>
              <w:autoSpaceDE/>
              <w:autoSpaceDN/>
              <w:adjustRightInd/>
              <w:spacing w:after="0" w:line="256" w:lineRule="auto"/>
              <w:textAlignment w:val="auto"/>
            </w:pPr>
            <w:r w:rsidRPr="0047624C">
              <w:t>PDCCH enhancements for cross-carrier scheduling including [RAN1, RAN2]</w:t>
            </w:r>
          </w:p>
          <w:p w14:paraId="3E38B164" w14:textId="77777777" w:rsidR="003A7127" w:rsidRPr="0047624C" w:rsidRDefault="003A7127" w:rsidP="003A7127">
            <w:pPr>
              <w:numPr>
                <w:ilvl w:val="1"/>
                <w:numId w:val="28"/>
              </w:numPr>
              <w:overflowPunct/>
              <w:autoSpaceDE/>
              <w:autoSpaceDN/>
              <w:adjustRightInd/>
              <w:spacing w:after="0" w:line="256" w:lineRule="auto"/>
              <w:textAlignment w:val="auto"/>
            </w:pPr>
            <w:r w:rsidRPr="0047624C">
              <w:t xml:space="preserve">PDCCH of </w:t>
            </w:r>
            <w:proofErr w:type="spellStart"/>
            <w:r w:rsidRPr="0047624C">
              <w:t>SCell</w:t>
            </w:r>
            <w:proofErr w:type="spellEnd"/>
            <w:r w:rsidRPr="0047624C">
              <w:t xml:space="preserve"> scheduling PDSCH or PUSCH on P(S)Cell</w:t>
            </w:r>
          </w:p>
          <w:p w14:paraId="1FFA0E44" w14:textId="77777777" w:rsidR="003A7127" w:rsidRPr="0047624C" w:rsidRDefault="003A7127" w:rsidP="003A7127">
            <w:pPr>
              <w:numPr>
                <w:ilvl w:val="1"/>
                <w:numId w:val="28"/>
              </w:numPr>
              <w:overflowPunct/>
              <w:autoSpaceDE/>
              <w:autoSpaceDN/>
              <w:adjustRightInd/>
              <w:spacing w:after="0" w:line="256" w:lineRule="auto"/>
              <w:textAlignment w:val="auto"/>
            </w:pPr>
            <w:r w:rsidRPr="0047624C">
              <w:t>Study, and if agreed specify PDCCH of P(S)Cell/</w:t>
            </w:r>
            <w:proofErr w:type="spellStart"/>
            <w:r w:rsidRPr="0047624C">
              <w:t>SCell</w:t>
            </w:r>
            <w:proofErr w:type="spellEnd"/>
            <w:r w:rsidRPr="0047624C">
              <w:t xml:space="preserve"> scheduling PDSCH on multiple cells using a single DCI</w:t>
            </w:r>
          </w:p>
          <w:p w14:paraId="5701FE60" w14:textId="77777777" w:rsidR="003A7127" w:rsidRDefault="003A7127" w:rsidP="003A7127">
            <w:pPr>
              <w:numPr>
                <w:ilvl w:val="2"/>
                <w:numId w:val="28"/>
              </w:numPr>
              <w:overflowPunct/>
              <w:autoSpaceDE/>
              <w:autoSpaceDN/>
              <w:adjustRightInd/>
              <w:spacing w:after="0" w:line="256" w:lineRule="auto"/>
              <w:textAlignment w:val="auto"/>
            </w:pPr>
            <w:r>
              <w:t>The number of cells can be scheduled at once is limited to 2</w:t>
            </w:r>
          </w:p>
          <w:p w14:paraId="02888125" w14:textId="77777777" w:rsidR="003A7127" w:rsidRDefault="003A7127" w:rsidP="003A7127">
            <w:pPr>
              <w:numPr>
                <w:ilvl w:val="2"/>
                <w:numId w:val="28"/>
              </w:numPr>
              <w:overflowPunct/>
              <w:autoSpaceDE/>
              <w:autoSpaceDN/>
              <w:adjustRightInd/>
              <w:spacing w:after="0" w:line="256" w:lineRule="auto"/>
              <w:textAlignment w:val="auto"/>
            </w:pPr>
            <w:r>
              <w:t>The increase in DCI size should be minimized</w:t>
            </w:r>
          </w:p>
          <w:p w14:paraId="49CF1ADE" w14:textId="77777777" w:rsidR="003A7127" w:rsidRDefault="003A7127" w:rsidP="003A7127">
            <w:pPr>
              <w:numPr>
                <w:ilvl w:val="0"/>
                <w:numId w:val="28"/>
              </w:numPr>
              <w:overflowPunct/>
              <w:autoSpaceDE/>
              <w:autoSpaceDN/>
              <w:adjustRightInd/>
              <w:spacing w:after="0" w:line="256" w:lineRule="auto"/>
              <w:textAlignment w:val="auto"/>
            </w:pPr>
            <w:bookmarkStart w:id="2" w:name="_Hlk27038352"/>
            <w:r>
              <w:t>Note: The total PDCCH blind decoding budget should not be changed as a result of this work</w:t>
            </w:r>
          </w:p>
          <w:bookmarkEnd w:id="2"/>
          <w:p w14:paraId="7151921A" w14:textId="7AD963C5" w:rsidR="003A7127" w:rsidRDefault="003A7127" w:rsidP="00A64A6E">
            <w:pPr>
              <w:numPr>
                <w:ilvl w:val="0"/>
                <w:numId w:val="28"/>
              </w:numPr>
              <w:overflowPunct/>
              <w:autoSpaceDE/>
              <w:autoSpaceDN/>
              <w:adjustRightInd/>
              <w:spacing w:after="0" w:line="256" w:lineRule="auto"/>
              <w:textAlignment w:val="auto"/>
            </w:pPr>
            <w:r>
              <w:t>Note: These enhancements are not specific to DSS and are generally applicable to cross-carrier scheduling in carrier aggregation</w:t>
            </w:r>
          </w:p>
        </w:tc>
      </w:tr>
    </w:tbl>
    <w:p w14:paraId="0A08C974" w14:textId="15CC0BFB" w:rsidR="003A7127" w:rsidRDefault="003A7127" w:rsidP="00A64A6E"/>
    <w:p w14:paraId="30A03E19" w14:textId="1E2257D9" w:rsidR="00F46833" w:rsidRDefault="00F46833" w:rsidP="00A64A6E">
      <w:r>
        <w:t xml:space="preserve">As mentioned in the Justification part of the newly approved DSS WI [1]: </w:t>
      </w:r>
    </w:p>
    <w:tbl>
      <w:tblPr>
        <w:tblStyle w:val="TableGrid"/>
        <w:tblW w:w="0" w:type="auto"/>
        <w:tblLook w:val="04A0" w:firstRow="1" w:lastRow="0" w:firstColumn="1" w:lastColumn="0" w:noHBand="0" w:noVBand="1"/>
      </w:tblPr>
      <w:tblGrid>
        <w:gridCol w:w="9629"/>
      </w:tblGrid>
      <w:tr w:rsidR="00F46833" w14:paraId="794A198D" w14:textId="77777777" w:rsidTr="00F46833">
        <w:tc>
          <w:tcPr>
            <w:tcW w:w="9629" w:type="dxa"/>
          </w:tcPr>
          <w:p w14:paraId="3FAD6009" w14:textId="0CD79AAC" w:rsidR="00F46833" w:rsidRDefault="00F46833" w:rsidP="00A64A6E">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w:t>
            </w:r>
          </w:p>
        </w:tc>
      </w:tr>
    </w:tbl>
    <w:p w14:paraId="20CEDE68" w14:textId="52A4EA62" w:rsidR="00F46833" w:rsidRDefault="00F46833" w:rsidP="00A64A6E"/>
    <w:p w14:paraId="67216CF8" w14:textId="13F10358" w:rsidR="009641C6" w:rsidRDefault="00804E26" w:rsidP="00A64A6E">
      <w:r>
        <w:t xml:space="preserve">As DSS becomes increasingly important to operators in real deployments, it is becoming evident that its capacity constraints, especially on the NR control channel, need to be mitigated. </w:t>
      </w:r>
      <w:r w:rsidR="003A7127">
        <w:t xml:space="preserve">This </w:t>
      </w:r>
      <w:r w:rsidR="00F46833">
        <w:t xml:space="preserve">contribution </w:t>
      </w:r>
      <w:r w:rsidR="00916D71">
        <w:t xml:space="preserve">proposes </w:t>
      </w:r>
      <w:r>
        <w:t xml:space="preserve">adapting </w:t>
      </w:r>
      <w:r w:rsidR="00916D71">
        <w:t>the DSS WI scope so that it allows</w:t>
      </w:r>
      <w:r>
        <w:t xml:space="preserve"> the NR PDCCH capacity to be significantly expanded by</w:t>
      </w:r>
      <w:r w:rsidR="00916D71">
        <w:t xml:space="preserve"> configuring the NR PDCCH to </w:t>
      </w:r>
      <w:r>
        <w:t>be transmitted in the same symbols as</w:t>
      </w:r>
      <w:r w:rsidR="00916D71">
        <w:t xml:space="preserve"> the LTE CRS</w:t>
      </w:r>
      <w:r>
        <w:t>, instead of those resource elements being wasted</w:t>
      </w:r>
      <w:r w:rsidR="009641C6">
        <w:t>.</w:t>
      </w:r>
    </w:p>
    <w:p w14:paraId="294C7766" w14:textId="2C81A815" w:rsidR="000E6372" w:rsidRDefault="00832DEA" w:rsidP="00A64A6E">
      <w:r>
        <w:t>An earlier version of t</w:t>
      </w:r>
      <w:r w:rsidR="000E6372">
        <w:t>his proposal was submitted to RAN1#102e for information [3].</w:t>
      </w:r>
    </w:p>
    <w:p w14:paraId="66618ABB" w14:textId="5A5F402C" w:rsidR="00CB4F78" w:rsidRDefault="00CB4F78" w:rsidP="000E6A81">
      <w:pPr>
        <w:pStyle w:val="Heading1"/>
      </w:pPr>
      <w:r>
        <w:t>Extension of NR PDCCH on LTE CRS symbols</w:t>
      </w:r>
    </w:p>
    <w:p w14:paraId="6A80F0D9" w14:textId="04A6D988" w:rsidR="001D4A13" w:rsidRDefault="001D4A13" w:rsidP="001D4A13">
      <w:pPr>
        <w:jc w:val="both"/>
      </w:pPr>
      <w:r>
        <w:t xml:space="preserve">The current DSS based on </w:t>
      </w:r>
      <w:r w:rsidR="009641C6">
        <w:t xml:space="preserve">LTE </w:t>
      </w:r>
      <w:r>
        <w:t>CRS rate matching</w:t>
      </w:r>
      <w:r w:rsidR="009641C6">
        <w:t xml:space="preserve"> leads</w:t>
      </w:r>
      <w:r>
        <w:t xml:space="preserve"> to having only one NR PDCCH symbol in a slot when 4</w:t>
      </w:r>
      <w:r w:rsidR="00CF6C26">
        <w:t>-</w:t>
      </w:r>
      <w:r>
        <w:t>port LTE CRS is assumed</w:t>
      </w:r>
      <w:r w:rsidR="009641C6">
        <w:t xml:space="preserve"> as illustrated in Figure 1a</w:t>
      </w:r>
      <w:r>
        <w:t>. The 3GPP specs do allow for more NR PDCCH symbols in a slot, however this would lead to reduced PDSCH capacity and requires UEs in the field to support optional features which are not supported as of today</w:t>
      </w:r>
      <w:r w:rsidR="00942F15">
        <w:t>.</w:t>
      </w:r>
    </w:p>
    <w:p w14:paraId="4B9C892A" w14:textId="4FC7395F" w:rsidR="006F28D1" w:rsidRDefault="003B7272" w:rsidP="001D4A13">
      <w:pPr>
        <w:jc w:val="both"/>
      </w:pPr>
      <w:r>
        <w:t xml:space="preserve">A more efficient </w:t>
      </w:r>
      <w:r w:rsidR="006F28D1">
        <w:t>alternative to a single non-overlapping</w:t>
      </w:r>
      <w:r w:rsidR="006F28D1" w:rsidRPr="006F28D1">
        <w:t xml:space="preserve"> NR PDCCH symbol </w:t>
      </w:r>
      <w:r w:rsidR="00825F24">
        <w:t xml:space="preserve">would be </w:t>
      </w:r>
      <w:r w:rsidR="006F28D1">
        <w:t xml:space="preserve">to </w:t>
      </w:r>
      <w:r w:rsidR="006F28D1" w:rsidRPr="006F28D1">
        <w:t>us</w:t>
      </w:r>
      <w:r w:rsidR="006F28D1">
        <w:t>e</w:t>
      </w:r>
      <w:r w:rsidR="006F28D1" w:rsidRPr="006F28D1">
        <w:t xml:space="preserve"> 2 NR PDCCH symbols</w:t>
      </w:r>
      <w:r w:rsidR="00825F24">
        <w:t xml:space="preserve"> such that one of them</w:t>
      </w:r>
      <w:r w:rsidR="006F28D1" w:rsidRPr="006F28D1">
        <w:t xml:space="preserve"> overlap</w:t>
      </w:r>
      <w:r w:rsidR="00825F24">
        <w:t>s</w:t>
      </w:r>
      <w:r w:rsidR="006F28D1" w:rsidRPr="006F28D1">
        <w:t xml:space="preserve"> with LTE</w:t>
      </w:r>
      <w:r w:rsidR="006F28D1">
        <w:t xml:space="preserve"> </w:t>
      </w:r>
      <w:r w:rsidR="00825F24">
        <w:t>CRS</w:t>
      </w:r>
      <w:r w:rsidR="00832DEA">
        <w:t xml:space="preserve"> in symbol#1</w:t>
      </w:r>
      <w:r>
        <w:t xml:space="preserve"> leaving symbol</w:t>
      </w:r>
      <w:r w:rsidR="00832DEA">
        <w:t>#0</w:t>
      </w:r>
      <w:r>
        <w:t xml:space="preserve"> always for LTE control </w:t>
      </w:r>
      <w:r w:rsidR="006F28D1">
        <w:t>as illustrated in</w:t>
      </w:r>
      <w:r w:rsidR="009641C6">
        <w:t xml:space="preserve"> Figure 1b</w:t>
      </w:r>
      <w:r w:rsidR="006F28D1">
        <w:t>.</w:t>
      </w:r>
      <w:r w:rsidR="00DC2261">
        <w:t xml:space="preserve"> </w:t>
      </w:r>
      <w:r w:rsidR="002C6E9B">
        <w:t>H</w:t>
      </w:r>
      <w:r w:rsidR="00DC2261">
        <w:t xml:space="preserve">owever, </w:t>
      </w:r>
      <w:r>
        <w:t>according to the current RAN1 specifications</w:t>
      </w:r>
      <w:r w:rsidR="00DC2261" w:rsidRPr="00DC2261">
        <w:t xml:space="preserve"> </w:t>
      </w:r>
      <w:r w:rsidR="00C87345">
        <w:t xml:space="preserve">the UE is not </w:t>
      </w:r>
      <w:r w:rsidR="00C87345" w:rsidRPr="00C87345">
        <w:t xml:space="preserve">required to monitor </w:t>
      </w:r>
      <w:r w:rsidR="00825F24">
        <w:t>a</w:t>
      </w:r>
      <w:r w:rsidR="00825F24" w:rsidRPr="00C87345">
        <w:t xml:space="preserve"> </w:t>
      </w:r>
      <w:r w:rsidR="00C87345" w:rsidRPr="00C87345">
        <w:t>PDCCH candidate</w:t>
      </w:r>
      <w:r w:rsidR="00C87345">
        <w:t xml:space="preserve"> i</w:t>
      </w:r>
      <w:r w:rsidR="00C87345" w:rsidRPr="00C87345">
        <w:t xml:space="preserve">f at least one RE of </w:t>
      </w:r>
      <w:r w:rsidR="00825F24">
        <w:t>the</w:t>
      </w:r>
      <w:r w:rsidR="00C87345" w:rsidRPr="00C87345">
        <w:t xml:space="preserve"> PDCCH candidate overlaps with at least one RE of </w:t>
      </w:r>
      <w:proofErr w:type="spellStart"/>
      <w:r w:rsidR="00C87345" w:rsidRPr="00CF6C26">
        <w:rPr>
          <w:i/>
          <w:iCs/>
        </w:rPr>
        <w:t>lte</w:t>
      </w:r>
      <w:proofErr w:type="spellEnd"/>
      <w:r w:rsidR="00C87345" w:rsidRPr="00CF6C26">
        <w:rPr>
          <w:i/>
          <w:iCs/>
        </w:rPr>
        <w:t>-CRS-</w:t>
      </w:r>
      <w:proofErr w:type="spellStart"/>
      <w:r w:rsidR="00C87345" w:rsidRPr="00CF6C26">
        <w:rPr>
          <w:i/>
          <w:iCs/>
        </w:rPr>
        <w:t>ToMatchAround</w:t>
      </w:r>
      <w:proofErr w:type="spellEnd"/>
      <w:r w:rsidR="00C87345" w:rsidRPr="00C87345">
        <w:t xml:space="preserve">, or of </w:t>
      </w:r>
      <w:r w:rsidR="00C87345" w:rsidRPr="00CF6C26">
        <w:rPr>
          <w:i/>
          <w:iCs/>
        </w:rPr>
        <w:t>LTE-CRS-PatternList-r16</w:t>
      </w:r>
      <w:r>
        <w:t>, making this configuration invalid.</w:t>
      </w:r>
    </w:p>
    <w:p w14:paraId="649EB387" w14:textId="77777777" w:rsidR="00832DEA" w:rsidRDefault="00832DEA" w:rsidP="00832DEA">
      <w:pPr>
        <w:jc w:val="both"/>
        <w:rPr>
          <w:rFonts w:eastAsia="Times New Roman"/>
          <w:b/>
          <w:bCs/>
          <w:i/>
          <w:iCs/>
        </w:rPr>
      </w:pPr>
      <w:r w:rsidRPr="00C46A7E">
        <w:rPr>
          <w:rFonts w:eastAsia="Times New Roman"/>
          <w:b/>
          <w:bCs/>
        </w:rPr>
        <w:t>Observation 1:</w:t>
      </w:r>
      <w:r>
        <w:rPr>
          <w:rFonts w:eastAsia="Times New Roman"/>
          <w:b/>
          <w:bCs/>
          <w:i/>
          <w:iCs/>
        </w:rPr>
        <w:t xml:space="preserve"> </w:t>
      </w:r>
      <w:proofErr w:type="spellStart"/>
      <w:r w:rsidRPr="00C46A7E">
        <w:rPr>
          <w:rFonts w:eastAsia="Times New Roman"/>
          <w:i/>
          <w:iCs/>
        </w:rPr>
        <w:t>Accordign</w:t>
      </w:r>
      <w:proofErr w:type="spellEnd"/>
      <w:r w:rsidRPr="00C46A7E">
        <w:rPr>
          <w:rFonts w:eastAsia="Times New Roman"/>
          <w:i/>
          <w:iCs/>
        </w:rPr>
        <w:t xml:space="preserve"> to current specifications, </w:t>
      </w:r>
      <w:r>
        <w:rPr>
          <w:rFonts w:eastAsia="Times New Roman"/>
          <w:i/>
          <w:iCs/>
        </w:rPr>
        <w:t>t</w:t>
      </w:r>
      <w:r w:rsidRPr="00C87345">
        <w:rPr>
          <w:rFonts w:eastAsia="Times New Roman"/>
          <w:i/>
          <w:iCs/>
        </w:rPr>
        <w:t>he UE is not required to monitor the</w:t>
      </w:r>
      <w:r>
        <w:rPr>
          <w:rFonts w:eastAsia="Times New Roman"/>
          <w:i/>
          <w:iCs/>
        </w:rPr>
        <w:t xml:space="preserve"> NR</w:t>
      </w:r>
      <w:r w:rsidRPr="00C87345">
        <w:rPr>
          <w:rFonts w:eastAsia="Times New Roman"/>
          <w:i/>
          <w:iCs/>
        </w:rPr>
        <w:t xml:space="preserve"> PDCCH candidate</w:t>
      </w:r>
      <w:r>
        <w:rPr>
          <w:rFonts w:eastAsia="Times New Roman"/>
          <w:i/>
          <w:iCs/>
        </w:rPr>
        <w:t xml:space="preserve"> when it overlaps with LTE-CRS.</w:t>
      </w:r>
      <w:r w:rsidRPr="00CF6C26">
        <w:rPr>
          <w:rFonts w:eastAsia="Times New Roman"/>
          <w:i/>
          <w:iCs/>
        </w:rPr>
        <w:t xml:space="preserve"> </w:t>
      </w:r>
      <w:r>
        <w:rPr>
          <w:rFonts w:eastAsia="Times New Roman"/>
          <w:i/>
          <w:iCs/>
        </w:rPr>
        <w:t>C</w:t>
      </w:r>
      <w:r w:rsidRPr="00CF6C26">
        <w:rPr>
          <w:rFonts w:eastAsia="Times New Roman"/>
          <w:i/>
          <w:iCs/>
        </w:rPr>
        <w:t>hange</w:t>
      </w:r>
      <w:r>
        <w:rPr>
          <w:rFonts w:eastAsia="Times New Roman"/>
          <w:i/>
          <w:iCs/>
        </w:rPr>
        <w:t xml:space="preserve">s to the </w:t>
      </w:r>
      <w:proofErr w:type="spellStart"/>
      <w:r>
        <w:rPr>
          <w:rFonts w:eastAsia="Times New Roman"/>
          <w:i/>
          <w:iCs/>
        </w:rPr>
        <w:t>specificiation</w:t>
      </w:r>
      <w:proofErr w:type="spellEnd"/>
      <w:r>
        <w:rPr>
          <w:rFonts w:eastAsia="Times New Roman"/>
          <w:i/>
          <w:iCs/>
        </w:rPr>
        <w:t xml:space="preserve"> are required</w:t>
      </w:r>
      <w:r w:rsidRPr="00CF6C26">
        <w:rPr>
          <w:rFonts w:eastAsia="Times New Roman"/>
          <w:i/>
          <w:iCs/>
        </w:rPr>
        <w:t xml:space="preserve"> to support</w:t>
      </w:r>
      <w:r>
        <w:rPr>
          <w:rFonts w:eastAsia="Times New Roman"/>
          <w:i/>
          <w:iCs/>
        </w:rPr>
        <w:t xml:space="preserve"> transmitting NR PDCCH</w:t>
      </w:r>
      <w:r w:rsidRPr="00CF6C26">
        <w:rPr>
          <w:rFonts w:eastAsia="Times New Roman"/>
          <w:i/>
          <w:iCs/>
        </w:rPr>
        <w:t xml:space="preserve"> </w:t>
      </w:r>
      <w:r>
        <w:rPr>
          <w:rFonts w:eastAsia="Times New Roman"/>
          <w:i/>
          <w:iCs/>
        </w:rPr>
        <w:t xml:space="preserve">in the same symbols as the </w:t>
      </w:r>
      <w:r w:rsidRPr="00CF6C26">
        <w:rPr>
          <w:rFonts w:eastAsia="Times New Roman"/>
          <w:i/>
          <w:iCs/>
        </w:rPr>
        <w:t>LTE CRS</w:t>
      </w:r>
      <w:r>
        <w:rPr>
          <w:rFonts w:eastAsia="Times New Roman"/>
          <w:i/>
          <w:iCs/>
        </w:rPr>
        <w:t xml:space="preserve"> in support of &gt;1 OFDM symbol</w:t>
      </w:r>
      <w:r w:rsidRPr="00CF6C26">
        <w:rPr>
          <w:rFonts w:eastAsia="Times New Roman"/>
          <w:i/>
          <w:iCs/>
        </w:rPr>
        <w:t xml:space="preserve"> </w:t>
      </w:r>
      <w:r>
        <w:rPr>
          <w:rFonts w:eastAsia="Times New Roman"/>
          <w:i/>
          <w:iCs/>
        </w:rPr>
        <w:t xml:space="preserve">NR </w:t>
      </w:r>
      <w:r w:rsidRPr="00CF6C26">
        <w:rPr>
          <w:rFonts w:eastAsia="Times New Roman"/>
          <w:i/>
          <w:iCs/>
        </w:rPr>
        <w:t>PDCCH</w:t>
      </w:r>
      <w:r>
        <w:rPr>
          <w:rFonts w:eastAsia="Times New Roman"/>
          <w:b/>
          <w:bCs/>
          <w:i/>
          <w:iCs/>
        </w:rPr>
        <w:t>.</w:t>
      </w:r>
      <w:r w:rsidRPr="00C87345">
        <w:rPr>
          <w:rFonts w:eastAsia="Times New Roman"/>
          <w:b/>
          <w:bCs/>
          <w:i/>
          <w:iCs/>
        </w:rPr>
        <w:t xml:space="preserve"> </w:t>
      </w:r>
    </w:p>
    <w:p w14:paraId="1A2579A9" w14:textId="2AB9E2D4" w:rsidR="00832DEA" w:rsidRDefault="00832DEA" w:rsidP="00832DEA">
      <w:pPr>
        <w:jc w:val="both"/>
      </w:pPr>
      <w:r>
        <w:lastRenderedPageBreak/>
        <w:t>I</w:t>
      </w:r>
      <w:r w:rsidRPr="00832DEA">
        <w:t>f there is no need to always allocate room for LTE control region</w:t>
      </w:r>
      <w:bookmarkStart w:id="3" w:name="_GoBack"/>
      <w:r w:rsidR="000E36C7">
        <w:t>,</w:t>
      </w:r>
      <w:bookmarkEnd w:id="3"/>
      <w:r w:rsidRPr="00832DEA">
        <w:t xml:space="preserve"> additional efficiency improvement can be obtained</w:t>
      </w:r>
      <w:r>
        <w:t xml:space="preserve"> as shown in Figure 1c, where RE wastage is completely avoided by using symbols #0 and #1 for </w:t>
      </w:r>
      <w:proofErr w:type="gramStart"/>
      <w:r>
        <w:t>NR PDCCH, and</w:t>
      </w:r>
      <w:proofErr w:type="gramEnd"/>
      <w:r>
        <w:t xml:space="preserve"> generating an additional symbol available for NR PDSCH.</w:t>
      </w:r>
      <w:r w:rsidR="00EF65F2">
        <w:t xml:space="preserve"> Naturally it would also be possible to have a 3-symbol NR-PDCCH allocation.</w:t>
      </w:r>
    </w:p>
    <w:p w14:paraId="1A12F71C" w14:textId="77777777" w:rsidR="00832DEA" w:rsidRPr="00942F15" w:rsidRDefault="00832DEA" w:rsidP="00E7219E">
      <w:pPr>
        <w:jc w:val="both"/>
      </w:pPr>
    </w:p>
    <w:p w14:paraId="701135DD" w14:textId="6E429E5C" w:rsidR="009641C6" w:rsidRPr="00804E26" w:rsidRDefault="003B7272" w:rsidP="009641C6">
      <w:pPr>
        <w:spacing w:after="0"/>
        <w:rPr>
          <w:b/>
          <w:bCs/>
          <w:lang w:val="fr-FR"/>
        </w:rPr>
      </w:pPr>
      <w:r>
        <w:rPr>
          <w:b/>
          <w:bCs/>
          <w:highlight w:val="red"/>
        </w:rPr>
        <w:t xml:space="preserve"> </w:t>
      </w:r>
      <w:r w:rsidRPr="00804E26">
        <w:rPr>
          <w:b/>
          <w:bCs/>
          <w:highlight w:val="red"/>
          <w:lang w:val="fr-FR"/>
        </w:rPr>
        <w:t xml:space="preserve">x </w:t>
      </w:r>
      <w:r w:rsidR="009641C6" w:rsidRPr="00804E26">
        <w:rPr>
          <w:b/>
          <w:bCs/>
          <w:lang w:val="fr-FR"/>
        </w:rPr>
        <w:t>: LTE CRS ports 0&amp;1</w:t>
      </w:r>
    </w:p>
    <w:p w14:paraId="27F00985" w14:textId="0CC21A0C" w:rsidR="009641C6" w:rsidRPr="00804E26" w:rsidRDefault="003B7272" w:rsidP="009641C6">
      <w:pPr>
        <w:spacing w:after="0"/>
        <w:rPr>
          <w:b/>
          <w:bCs/>
          <w:lang w:val="fr-FR"/>
        </w:rPr>
      </w:pPr>
      <w:r w:rsidRPr="00804E26">
        <w:rPr>
          <w:b/>
          <w:bCs/>
          <w:highlight w:val="yellow"/>
          <w:lang w:val="fr-FR"/>
        </w:rPr>
        <w:t xml:space="preserve"> x </w:t>
      </w:r>
      <w:r w:rsidR="009641C6" w:rsidRPr="00804E26">
        <w:rPr>
          <w:b/>
          <w:bCs/>
          <w:lang w:val="fr-FR"/>
        </w:rPr>
        <w:t>: LTE CRS ports 2&amp;3</w:t>
      </w:r>
    </w:p>
    <w:tbl>
      <w:tblPr>
        <w:tblStyle w:val="TableGrid"/>
        <w:tblW w:w="0" w:type="auto"/>
        <w:tblLook w:val="04A0" w:firstRow="1" w:lastRow="0" w:firstColumn="1" w:lastColumn="0" w:noHBand="0" w:noVBand="1"/>
      </w:tblPr>
      <w:tblGrid>
        <w:gridCol w:w="3209"/>
        <w:gridCol w:w="3210"/>
        <w:gridCol w:w="3210"/>
      </w:tblGrid>
      <w:tr w:rsidR="00E7219E" w14:paraId="394BBFB2" w14:textId="77777777" w:rsidTr="00832DEA">
        <w:tc>
          <w:tcPr>
            <w:tcW w:w="3209" w:type="dxa"/>
            <w:tcBorders>
              <w:bottom w:val="nil"/>
            </w:tcBorders>
          </w:tcPr>
          <w:p w14:paraId="5688DF90" w14:textId="44752310" w:rsidR="00E7219E" w:rsidRPr="00832DEA" w:rsidRDefault="00E7219E" w:rsidP="00832DEA">
            <w:pPr>
              <w:jc w:val="center"/>
            </w:pPr>
            <w:r w:rsidRPr="00F801E0">
              <w:rPr>
                <w:noProof/>
              </w:rPr>
              <w:drawing>
                <wp:inline distT="0" distB="0" distL="0" distR="0" wp14:anchorId="0D3DED94" wp14:editId="1BCFFE4A">
                  <wp:extent cx="1782000" cy="1519200"/>
                  <wp:effectExtent l="0" t="0" r="8890" b="5080"/>
                  <wp:docPr id="3" name="Picture 6">
                    <a:extLst xmlns:a="http://schemas.openxmlformats.org/drawingml/2006/main">
                      <a:ext uri="{FF2B5EF4-FFF2-40B4-BE49-F238E27FC236}">
                        <a16:creationId xmlns:a16="http://schemas.microsoft.com/office/drawing/2014/main" id="{32C4C0D0-C2B7-4044-A424-40F1231AE9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2C4C0D0-C2B7-4044-A424-40F1231AE92B}"/>
                              </a:ext>
                            </a:extLst>
                          </pic:cNvPr>
                          <pic:cNvPicPr>
                            <a:picLocks noChangeAspect="1"/>
                          </pic:cNvPicPr>
                        </pic:nvPicPr>
                        <pic:blipFill>
                          <a:blip r:embed="rId13"/>
                          <a:stretch>
                            <a:fillRect/>
                          </a:stretch>
                        </pic:blipFill>
                        <pic:spPr>
                          <a:xfrm>
                            <a:off x="0" y="0"/>
                            <a:ext cx="1782000" cy="1519200"/>
                          </a:xfrm>
                          <a:prstGeom prst="rect">
                            <a:avLst/>
                          </a:prstGeom>
                        </pic:spPr>
                      </pic:pic>
                    </a:graphicData>
                  </a:graphic>
                </wp:inline>
              </w:drawing>
            </w:r>
          </w:p>
        </w:tc>
        <w:tc>
          <w:tcPr>
            <w:tcW w:w="3210" w:type="dxa"/>
            <w:tcBorders>
              <w:bottom w:val="nil"/>
            </w:tcBorders>
          </w:tcPr>
          <w:p w14:paraId="5BF58C6D" w14:textId="55414807" w:rsidR="00832DEA" w:rsidRPr="00832DEA" w:rsidRDefault="00E7219E" w:rsidP="00832DEA">
            <w:pPr>
              <w:jc w:val="center"/>
            </w:pPr>
            <w:r w:rsidRPr="00E7219E">
              <w:rPr>
                <w:noProof/>
              </w:rPr>
              <w:drawing>
                <wp:inline distT="0" distB="0" distL="0" distR="0" wp14:anchorId="7B0DE082" wp14:editId="5E6ADECD">
                  <wp:extent cx="1782000" cy="1519200"/>
                  <wp:effectExtent l="0" t="0" r="8890" b="5080"/>
                  <wp:docPr id="5" name="Picture 4">
                    <a:extLst xmlns:a="http://schemas.openxmlformats.org/drawingml/2006/main">
                      <a:ext uri="{FF2B5EF4-FFF2-40B4-BE49-F238E27FC236}">
                        <a16:creationId xmlns:a16="http://schemas.microsoft.com/office/drawing/2014/main" id="{F9F62233-6EEF-4A5B-85C0-DB0DB37625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9F62233-6EEF-4A5B-85C0-DB0DB3762586}"/>
                              </a:ext>
                            </a:extLst>
                          </pic:cNvPr>
                          <pic:cNvPicPr>
                            <a:picLocks noChangeAspect="1"/>
                          </pic:cNvPicPr>
                        </pic:nvPicPr>
                        <pic:blipFill>
                          <a:blip r:embed="rId14"/>
                          <a:stretch>
                            <a:fillRect/>
                          </a:stretch>
                        </pic:blipFill>
                        <pic:spPr>
                          <a:xfrm>
                            <a:off x="0" y="0"/>
                            <a:ext cx="1782000" cy="1519200"/>
                          </a:xfrm>
                          <a:prstGeom prst="rect">
                            <a:avLst/>
                          </a:prstGeom>
                        </pic:spPr>
                      </pic:pic>
                    </a:graphicData>
                  </a:graphic>
                </wp:inline>
              </w:drawing>
            </w:r>
          </w:p>
        </w:tc>
        <w:tc>
          <w:tcPr>
            <w:tcW w:w="3210" w:type="dxa"/>
            <w:tcBorders>
              <w:bottom w:val="nil"/>
            </w:tcBorders>
          </w:tcPr>
          <w:p w14:paraId="761907C3" w14:textId="5CCEF394" w:rsidR="00E7219E" w:rsidRPr="00832DEA" w:rsidRDefault="00E7219E" w:rsidP="00832DEA">
            <w:pPr>
              <w:jc w:val="center"/>
            </w:pPr>
            <w:r w:rsidRPr="00E7219E">
              <w:rPr>
                <w:noProof/>
              </w:rPr>
              <w:drawing>
                <wp:inline distT="0" distB="0" distL="0" distR="0" wp14:anchorId="55D0966A" wp14:editId="65EE7F00">
                  <wp:extent cx="1782000" cy="1519200"/>
                  <wp:effectExtent l="0" t="0" r="8890" b="5080"/>
                  <wp:docPr id="13" name="Picture 12">
                    <a:extLst xmlns:a="http://schemas.openxmlformats.org/drawingml/2006/main">
                      <a:ext uri="{FF2B5EF4-FFF2-40B4-BE49-F238E27FC236}">
                        <a16:creationId xmlns:a16="http://schemas.microsoft.com/office/drawing/2014/main" id="{70D54948-B393-4BD9-BA58-6A694388E6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70D54948-B393-4BD9-BA58-6A694388E6B3}"/>
                              </a:ext>
                            </a:extLst>
                          </pic:cNvPr>
                          <pic:cNvPicPr>
                            <a:picLocks noChangeAspect="1"/>
                          </pic:cNvPicPr>
                        </pic:nvPicPr>
                        <pic:blipFill>
                          <a:blip r:embed="rId15"/>
                          <a:stretch>
                            <a:fillRect/>
                          </a:stretch>
                        </pic:blipFill>
                        <pic:spPr>
                          <a:xfrm>
                            <a:off x="0" y="0"/>
                            <a:ext cx="1782000" cy="1519200"/>
                          </a:xfrm>
                          <a:prstGeom prst="rect">
                            <a:avLst/>
                          </a:prstGeom>
                        </pic:spPr>
                      </pic:pic>
                    </a:graphicData>
                  </a:graphic>
                </wp:inline>
              </w:drawing>
            </w:r>
          </w:p>
        </w:tc>
      </w:tr>
      <w:tr w:rsidR="00832DEA" w14:paraId="4853DA96" w14:textId="77777777" w:rsidTr="00832DEA">
        <w:tc>
          <w:tcPr>
            <w:tcW w:w="3209" w:type="dxa"/>
            <w:tcBorders>
              <w:top w:val="nil"/>
            </w:tcBorders>
          </w:tcPr>
          <w:p w14:paraId="669060AE" w14:textId="112703A7" w:rsidR="00832DEA" w:rsidRPr="00832DEA" w:rsidRDefault="00832DEA" w:rsidP="00EF65F2">
            <w:pPr>
              <w:rPr>
                <w:b/>
                <w:bCs/>
                <w:noProof/>
              </w:rPr>
            </w:pPr>
          </w:p>
        </w:tc>
        <w:tc>
          <w:tcPr>
            <w:tcW w:w="3210" w:type="dxa"/>
            <w:tcBorders>
              <w:top w:val="nil"/>
            </w:tcBorders>
          </w:tcPr>
          <w:p w14:paraId="4BD9D43E" w14:textId="7C240DC2" w:rsidR="00EF65F2" w:rsidRPr="00EF65F2" w:rsidRDefault="00EF65F2" w:rsidP="00EF65F2">
            <w:pPr>
              <w:rPr>
                <w:noProof/>
              </w:rPr>
            </w:pPr>
            <w:r>
              <w:rPr>
                <w:noProof/>
              </w:rPr>
              <w:t>~67% more PDCCH REs</w:t>
            </w:r>
            <w:r>
              <w:rPr>
                <w:noProof/>
              </w:rPr>
              <w:br/>
              <w:t>~67% more PDCCH DM-RS REs</w:t>
            </w:r>
          </w:p>
        </w:tc>
        <w:tc>
          <w:tcPr>
            <w:tcW w:w="3210" w:type="dxa"/>
            <w:tcBorders>
              <w:top w:val="nil"/>
            </w:tcBorders>
          </w:tcPr>
          <w:p w14:paraId="7EB030FA" w14:textId="0E30CDEE" w:rsidR="00832DEA" w:rsidRPr="00832DEA" w:rsidRDefault="00EF65F2" w:rsidP="00832DEA">
            <w:pPr>
              <w:rPr>
                <w:b/>
                <w:bCs/>
                <w:noProof/>
              </w:rPr>
            </w:pPr>
            <w:r>
              <w:rPr>
                <w:noProof/>
              </w:rPr>
              <w:t>~56% more PDCCH REs</w:t>
            </w:r>
            <w:r>
              <w:rPr>
                <w:noProof/>
              </w:rPr>
              <w:br/>
              <w:t>~33% more PDCCH DM-RS REs</w:t>
            </w:r>
            <w:r>
              <w:rPr>
                <w:noProof/>
              </w:rPr>
              <w:br/>
              <w:t>~12% more PDSCH REs</w:t>
            </w:r>
          </w:p>
        </w:tc>
      </w:tr>
      <w:tr w:rsidR="00832DEA" w14:paraId="3E94F3E9" w14:textId="77777777" w:rsidTr="00832DEA">
        <w:tc>
          <w:tcPr>
            <w:tcW w:w="3209" w:type="dxa"/>
          </w:tcPr>
          <w:p w14:paraId="6B265FE8" w14:textId="28982314" w:rsidR="00832DEA" w:rsidRDefault="00832DEA" w:rsidP="00832DEA">
            <w:pPr>
              <w:jc w:val="center"/>
              <w:rPr>
                <w:b/>
                <w:bCs/>
              </w:rPr>
            </w:pPr>
            <w:r>
              <w:rPr>
                <w:b/>
                <w:bCs/>
              </w:rPr>
              <w:t xml:space="preserve">Figure 1a: </w:t>
            </w:r>
            <w:r w:rsidRPr="00E7219E">
              <w:rPr>
                <w:b/>
                <w:bCs/>
              </w:rPr>
              <w:t>Rel-15 reference</w:t>
            </w:r>
          </w:p>
        </w:tc>
        <w:tc>
          <w:tcPr>
            <w:tcW w:w="3210" w:type="dxa"/>
          </w:tcPr>
          <w:p w14:paraId="3A3A3A99" w14:textId="6F868D41" w:rsidR="00832DEA" w:rsidRDefault="00832DEA" w:rsidP="00832DEA">
            <w:pPr>
              <w:jc w:val="center"/>
              <w:rPr>
                <w:b/>
                <w:bCs/>
              </w:rPr>
            </w:pPr>
            <w:r>
              <w:rPr>
                <w:b/>
                <w:bCs/>
              </w:rPr>
              <w:t>Figure 1b:</w:t>
            </w:r>
            <w:r w:rsidRPr="00E7219E">
              <w:rPr>
                <w:b/>
                <w:bCs/>
              </w:rPr>
              <w:t xml:space="preserve"> More PDCCH </w:t>
            </w:r>
            <w:r>
              <w:rPr>
                <w:b/>
                <w:bCs/>
              </w:rPr>
              <w:t>symbols</w:t>
            </w:r>
          </w:p>
        </w:tc>
        <w:tc>
          <w:tcPr>
            <w:tcW w:w="3210" w:type="dxa"/>
          </w:tcPr>
          <w:p w14:paraId="66E6C809" w14:textId="17E5F266" w:rsidR="00832DEA" w:rsidRDefault="00832DEA" w:rsidP="00832DEA">
            <w:pPr>
              <w:jc w:val="center"/>
              <w:rPr>
                <w:b/>
                <w:bCs/>
              </w:rPr>
            </w:pPr>
            <w:r>
              <w:rPr>
                <w:b/>
                <w:bCs/>
              </w:rPr>
              <w:t xml:space="preserve">Figure 1c: </w:t>
            </w:r>
            <w:r w:rsidRPr="00E7219E">
              <w:rPr>
                <w:b/>
                <w:bCs/>
              </w:rPr>
              <w:t>More PD</w:t>
            </w:r>
            <w:r>
              <w:rPr>
                <w:b/>
                <w:bCs/>
              </w:rPr>
              <w:t>CCH and PDSCH symbols</w:t>
            </w:r>
          </w:p>
        </w:tc>
      </w:tr>
    </w:tbl>
    <w:p w14:paraId="7E025115" w14:textId="790EC6AC" w:rsidR="006F28D1" w:rsidRDefault="006F28D1" w:rsidP="001D4A13">
      <w:pPr>
        <w:jc w:val="both"/>
      </w:pPr>
    </w:p>
    <w:p w14:paraId="168C4136" w14:textId="4D2143D0" w:rsidR="00832DEA" w:rsidRDefault="00832DEA" w:rsidP="00832DEA">
      <w:r>
        <w:t xml:space="preserve">When the NR PDCCH occupies the same symbol as the LTE CRS, the most straightforward UE behaviour is to assume that the NR PDCCH </w:t>
      </w:r>
      <w:r>
        <w:t xml:space="preserve">and DM-RS resource </w:t>
      </w:r>
      <w:r>
        <w:t xml:space="preserve">elements colliding with the LTE CRS resource elements are not present. This would lead to minimal specification changes. </w:t>
      </w:r>
    </w:p>
    <w:p w14:paraId="66940AB0" w14:textId="1BD75F54" w:rsidR="00832DEA" w:rsidRDefault="00832DEA" w:rsidP="00832DEA">
      <w:pPr>
        <w:jc w:val="both"/>
      </w:pPr>
      <w:r>
        <w:t>Every 3</w:t>
      </w:r>
      <w:r w:rsidRPr="00832DEA">
        <w:rPr>
          <w:vertAlign w:val="superscript"/>
        </w:rPr>
        <w:t>rd</w:t>
      </w:r>
      <w:r>
        <w:t xml:space="preserve"> NR PDCCH DM-RS RE in symbol #1 (Figure 1b) or in symbols #0 and #1 (Figure 1</w:t>
      </w:r>
      <w:r w:rsidR="000E36C7">
        <w:t>c</w:t>
      </w:r>
      <w:r>
        <w:t>) collides with the LTE CRS and would not be transmitted, but the remaining NR PDCCH DMRS would still be enough to successfully estimate the channel as in both cases there would be more DM-RS REs transmitted than with a single symbol NR PDCCH configuration with no CRS collision.</w:t>
      </w:r>
    </w:p>
    <w:p w14:paraId="72E0D581" w14:textId="0825F28C" w:rsidR="000E6A81" w:rsidRDefault="000E6A81" w:rsidP="000E6A81">
      <w:pPr>
        <w:jc w:val="both"/>
        <w:rPr>
          <w:rFonts w:eastAsia="Times New Roman"/>
          <w:i/>
          <w:iCs/>
        </w:rPr>
      </w:pPr>
      <w:r w:rsidRPr="00C46A7E">
        <w:rPr>
          <w:rFonts w:eastAsia="Times New Roman"/>
          <w:b/>
          <w:bCs/>
        </w:rPr>
        <w:t xml:space="preserve">Observation </w:t>
      </w:r>
      <w:r>
        <w:rPr>
          <w:rFonts w:eastAsia="Times New Roman"/>
          <w:b/>
          <w:bCs/>
        </w:rPr>
        <w:t>2</w:t>
      </w:r>
      <w:r w:rsidRPr="00C46A7E">
        <w:rPr>
          <w:rFonts w:eastAsia="Times New Roman"/>
          <w:b/>
          <w:bCs/>
        </w:rPr>
        <w:t>:</w:t>
      </w:r>
      <w:r>
        <w:rPr>
          <w:rFonts w:eastAsia="Times New Roman"/>
          <w:b/>
          <w:bCs/>
          <w:i/>
          <w:iCs/>
        </w:rPr>
        <w:t xml:space="preserve"> </w:t>
      </w:r>
      <w:r>
        <w:rPr>
          <w:rFonts w:eastAsia="Times New Roman"/>
          <w:i/>
          <w:iCs/>
        </w:rPr>
        <w:t>The UE could ignore the NR PDCCH and PDCCH DM-RS REs that collide with the LTE CRS and there would still be more PDCCH REs available than with the Release 15 configuration.</w:t>
      </w:r>
    </w:p>
    <w:p w14:paraId="326B05FD" w14:textId="77777777" w:rsidR="000E6A81" w:rsidRPr="000E6A81" w:rsidRDefault="000E6A81" w:rsidP="00842A32"/>
    <w:bookmarkEnd w:id="1"/>
    <w:p w14:paraId="10445A01" w14:textId="480CC7E1" w:rsidR="00885580" w:rsidRDefault="007820D0" w:rsidP="00885580">
      <w:pPr>
        <w:pStyle w:val="Heading1"/>
      </w:pPr>
      <w:r>
        <w:t>Conclusion</w:t>
      </w:r>
    </w:p>
    <w:p w14:paraId="6E51C40F" w14:textId="20BE06A3" w:rsidR="00736BEF" w:rsidRDefault="00736BEF" w:rsidP="00736BEF">
      <w:pPr>
        <w:tabs>
          <w:tab w:val="left" w:pos="8865"/>
        </w:tabs>
      </w:pPr>
      <w:r w:rsidRPr="004B56FD">
        <w:t xml:space="preserve">In this contribution, we discussed </w:t>
      </w:r>
      <w:r w:rsidR="00B46E84">
        <w:t>in detail the possibility of</w:t>
      </w:r>
      <w:r w:rsidR="00B46E84" w:rsidRPr="00BD5CA1">
        <w:t xml:space="preserve"> </w:t>
      </w:r>
      <w:r w:rsidR="00B474E0">
        <w:t xml:space="preserve">creating additional NR scheduling capacity by </w:t>
      </w:r>
      <w:r w:rsidR="00B46E84" w:rsidRPr="00BD5CA1">
        <w:t>support</w:t>
      </w:r>
      <w:r w:rsidR="00B46E84">
        <w:t xml:space="preserve">ing NR </w:t>
      </w:r>
      <w:r w:rsidR="00B46E84" w:rsidRPr="00BD5CA1">
        <w:t>PDCCH</w:t>
      </w:r>
      <w:r w:rsidR="00B46E84">
        <w:t xml:space="preserve"> </w:t>
      </w:r>
      <w:r w:rsidR="00B46E84" w:rsidRPr="00BD5CA1">
        <w:t>overlapping with</w:t>
      </w:r>
      <w:r w:rsidR="00B46E84">
        <w:t xml:space="preserve"> </w:t>
      </w:r>
      <w:r w:rsidR="00B46E84" w:rsidRPr="00BD5CA1">
        <w:t xml:space="preserve">LTE CRS </w:t>
      </w:r>
      <w:r w:rsidR="00B46E84">
        <w:t xml:space="preserve">and </w:t>
      </w:r>
      <w:r w:rsidR="00B46E84" w:rsidRPr="002C742F">
        <w:t>NR PDCCH puncturing around LTE PDCCH</w:t>
      </w:r>
      <w:r w:rsidR="00B46E84">
        <w:t xml:space="preserve"> to allow for a 2OS NR CORESET</w:t>
      </w:r>
      <w:r w:rsidRPr="004B56FD">
        <w:t>. Based on the discussion, we made the following</w:t>
      </w:r>
      <w:r w:rsidR="00122EF6">
        <w:t xml:space="preserve"> observations and</w:t>
      </w:r>
      <w:r w:rsidRPr="004B56FD">
        <w:t xml:space="preserve"> proposals</w:t>
      </w:r>
      <w:r w:rsidR="00B46E84">
        <w:t>:</w:t>
      </w:r>
    </w:p>
    <w:p w14:paraId="5FF9679A" w14:textId="2EEAD817" w:rsidR="00C46A7E" w:rsidRDefault="00C46A7E" w:rsidP="00C46A7E">
      <w:pPr>
        <w:jc w:val="both"/>
        <w:rPr>
          <w:rFonts w:eastAsia="Times New Roman"/>
          <w:b/>
          <w:bCs/>
          <w:i/>
          <w:iCs/>
        </w:rPr>
      </w:pPr>
      <w:r w:rsidRPr="00C46A7E">
        <w:rPr>
          <w:rFonts w:eastAsia="Times New Roman"/>
          <w:b/>
          <w:bCs/>
        </w:rPr>
        <w:t>Observation 1:</w:t>
      </w:r>
      <w:r>
        <w:rPr>
          <w:rFonts w:eastAsia="Times New Roman"/>
          <w:b/>
          <w:bCs/>
          <w:i/>
          <w:iCs/>
        </w:rPr>
        <w:t xml:space="preserve"> </w:t>
      </w:r>
      <w:r w:rsidRPr="00C46A7E">
        <w:rPr>
          <w:rFonts w:eastAsia="Times New Roman"/>
          <w:i/>
          <w:iCs/>
        </w:rPr>
        <w:t>Accordi</w:t>
      </w:r>
      <w:r w:rsidR="00B474E0">
        <w:rPr>
          <w:rFonts w:eastAsia="Times New Roman"/>
          <w:i/>
          <w:iCs/>
        </w:rPr>
        <w:t>n</w:t>
      </w:r>
      <w:r w:rsidRPr="00C46A7E">
        <w:rPr>
          <w:rFonts w:eastAsia="Times New Roman"/>
          <w:i/>
          <w:iCs/>
        </w:rPr>
        <w:t xml:space="preserve">g to current specifications, </w:t>
      </w:r>
      <w:r>
        <w:rPr>
          <w:rFonts w:eastAsia="Times New Roman"/>
          <w:i/>
          <w:iCs/>
        </w:rPr>
        <w:t>t</w:t>
      </w:r>
      <w:r w:rsidRPr="00C87345">
        <w:rPr>
          <w:rFonts w:eastAsia="Times New Roman"/>
          <w:i/>
          <w:iCs/>
        </w:rPr>
        <w:t>he UE is not required to monitor the</w:t>
      </w:r>
      <w:r>
        <w:rPr>
          <w:rFonts w:eastAsia="Times New Roman"/>
          <w:i/>
          <w:iCs/>
        </w:rPr>
        <w:t xml:space="preserve"> NR</w:t>
      </w:r>
      <w:r w:rsidRPr="00C87345">
        <w:rPr>
          <w:rFonts w:eastAsia="Times New Roman"/>
          <w:i/>
          <w:iCs/>
        </w:rPr>
        <w:t xml:space="preserve"> PDCCH candidate</w:t>
      </w:r>
      <w:r>
        <w:rPr>
          <w:rFonts w:eastAsia="Times New Roman"/>
          <w:i/>
          <w:iCs/>
        </w:rPr>
        <w:t xml:space="preserve"> when it overlaps with LTE-CRS.</w:t>
      </w:r>
      <w:r w:rsidRPr="00CF6C26">
        <w:rPr>
          <w:rFonts w:eastAsia="Times New Roman"/>
          <w:i/>
          <w:iCs/>
        </w:rPr>
        <w:t xml:space="preserve"> </w:t>
      </w:r>
      <w:r>
        <w:rPr>
          <w:rFonts w:eastAsia="Times New Roman"/>
          <w:i/>
          <w:iCs/>
        </w:rPr>
        <w:t>C</w:t>
      </w:r>
      <w:r w:rsidRPr="00CF6C26">
        <w:rPr>
          <w:rFonts w:eastAsia="Times New Roman"/>
          <w:i/>
          <w:iCs/>
        </w:rPr>
        <w:t>hange</w:t>
      </w:r>
      <w:r>
        <w:rPr>
          <w:rFonts w:eastAsia="Times New Roman"/>
          <w:i/>
          <w:iCs/>
        </w:rPr>
        <w:t xml:space="preserve">s to the </w:t>
      </w:r>
      <w:proofErr w:type="spellStart"/>
      <w:r>
        <w:rPr>
          <w:rFonts w:eastAsia="Times New Roman"/>
          <w:i/>
          <w:iCs/>
        </w:rPr>
        <w:t>specificiation</w:t>
      </w:r>
      <w:proofErr w:type="spellEnd"/>
      <w:r>
        <w:rPr>
          <w:rFonts w:eastAsia="Times New Roman"/>
          <w:i/>
          <w:iCs/>
        </w:rPr>
        <w:t xml:space="preserve"> are required</w:t>
      </w:r>
      <w:r w:rsidRPr="00CF6C26">
        <w:rPr>
          <w:rFonts w:eastAsia="Times New Roman"/>
          <w:i/>
          <w:iCs/>
        </w:rPr>
        <w:t xml:space="preserve"> to support</w:t>
      </w:r>
      <w:r>
        <w:rPr>
          <w:rFonts w:eastAsia="Times New Roman"/>
          <w:i/>
          <w:iCs/>
        </w:rPr>
        <w:t xml:space="preserve"> transmitting NR PDCCH</w:t>
      </w:r>
      <w:r w:rsidRPr="00CF6C26">
        <w:rPr>
          <w:rFonts w:eastAsia="Times New Roman"/>
          <w:i/>
          <w:iCs/>
        </w:rPr>
        <w:t xml:space="preserve"> </w:t>
      </w:r>
      <w:r>
        <w:rPr>
          <w:rFonts w:eastAsia="Times New Roman"/>
          <w:i/>
          <w:iCs/>
        </w:rPr>
        <w:t xml:space="preserve">in the same symbols as the </w:t>
      </w:r>
      <w:r w:rsidRPr="00CF6C26">
        <w:rPr>
          <w:rFonts w:eastAsia="Times New Roman"/>
          <w:i/>
          <w:iCs/>
        </w:rPr>
        <w:t>LTE CRS</w:t>
      </w:r>
      <w:r>
        <w:rPr>
          <w:rFonts w:eastAsia="Times New Roman"/>
          <w:i/>
          <w:iCs/>
        </w:rPr>
        <w:t xml:space="preserve"> in support of &gt;1 OFDM symbol</w:t>
      </w:r>
      <w:r w:rsidRPr="00CF6C26">
        <w:rPr>
          <w:rFonts w:eastAsia="Times New Roman"/>
          <w:i/>
          <w:iCs/>
        </w:rPr>
        <w:t xml:space="preserve"> </w:t>
      </w:r>
      <w:r>
        <w:rPr>
          <w:rFonts w:eastAsia="Times New Roman"/>
          <w:i/>
          <w:iCs/>
        </w:rPr>
        <w:t xml:space="preserve">NR </w:t>
      </w:r>
      <w:r w:rsidRPr="00CF6C26">
        <w:rPr>
          <w:rFonts w:eastAsia="Times New Roman"/>
          <w:i/>
          <w:iCs/>
        </w:rPr>
        <w:t>PDCCH</w:t>
      </w:r>
      <w:r>
        <w:rPr>
          <w:rFonts w:eastAsia="Times New Roman"/>
          <w:b/>
          <w:bCs/>
          <w:i/>
          <w:iCs/>
        </w:rPr>
        <w:t>.</w:t>
      </w:r>
      <w:r w:rsidRPr="00C87345">
        <w:rPr>
          <w:rFonts w:eastAsia="Times New Roman"/>
          <w:b/>
          <w:bCs/>
          <w:i/>
          <w:iCs/>
        </w:rPr>
        <w:t xml:space="preserve"> </w:t>
      </w:r>
    </w:p>
    <w:p w14:paraId="0BCEDFA0" w14:textId="77777777" w:rsidR="00832DEA" w:rsidRDefault="00BC1986" w:rsidP="00832DEA">
      <w:pPr>
        <w:jc w:val="both"/>
        <w:rPr>
          <w:rFonts w:eastAsia="Times New Roman"/>
          <w:i/>
          <w:iCs/>
        </w:rPr>
      </w:pPr>
      <w:r>
        <w:rPr>
          <w:b/>
          <w:bCs/>
        </w:rPr>
        <w:t xml:space="preserve">Observation 2: </w:t>
      </w:r>
      <w:r w:rsidR="00832DEA">
        <w:rPr>
          <w:rFonts w:eastAsia="Times New Roman"/>
          <w:i/>
          <w:iCs/>
        </w:rPr>
        <w:t>The UE could ignore the NR PDCCH and PDCCH DM-RS REs that collide with the LTE CRS and there would still be more PDCCH REs available than with the Release 15 configuration.</w:t>
      </w:r>
    </w:p>
    <w:p w14:paraId="2333B34E" w14:textId="3070D22A" w:rsidR="003B7272" w:rsidRDefault="00C137C8" w:rsidP="00C137C8">
      <w:pPr>
        <w:rPr>
          <w:i/>
          <w:iCs/>
        </w:rPr>
      </w:pPr>
      <w:r w:rsidRPr="00B5561C">
        <w:rPr>
          <w:b/>
          <w:bCs/>
        </w:rPr>
        <w:t>Proposal</w:t>
      </w:r>
      <w:r w:rsidR="003B7272">
        <w:rPr>
          <w:b/>
          <w:bCs/>
        </w:rPr>
        <w:t xml:space="preserve"> 1</w:t>
      </w:r>
      <w:r w:rsidRPr="00B5561C">
        <w:rPr>
          <w:b/>
          <w:bCs/>
        </w:rPr>
        <w:t>:</w:t>
      </w:r>
      <w:r w:rsidRPr="00CE692E">
        <w:t xml:space="preserve"> </w:t>
      </w:r>
      <w:r w:rsidR="000E36C7">
        <w:rPr>
          <w:i/>
          <w:iCs/>
        </w:rPr>
        <w:t>Adapt</w:t>
      </w:r>
      <w:r w:rsidR="000E36C7" w:rsidRPr="003B7272">
        <w:rPr>
          <w:i/>
          <w:iCs/>
        </w:rPr>
        <w:t xml:space="preserve"> </w:t>
      </w:r>
      <w:r w:rsidR="003B7272" w:rsidRPr="003B7272">
        <w:rPr>
          <w:i/>
          <w:iCs/>
        </w:rPr>
        <w:t xml:space="preserve">the DSS WID to </w:t>
      </w:r>
      <w:r w:rsidR="003B7272">
        <w:rPr>
          <w:i/>
          <w:iCs/>
        </w:rPr>
        <w:t xml:space="preserve">include support for PDCCH </w:t>
      </w:r>
      <w:r w:rsidR="00705FFD">
        <w:rPr>
          <w:i/>
          <w:iCs/>
        </w:rPr>
        <w:t>to be transmitted in the same symbols as</w:t>
      </w:r>
      <w:r w:rsidR="003B7272">
        <w:rPr>
          <w:i/>
          <w:iCs/>
        </w:rPr>
        <w:t xml:space="preserve"> the LTE CRS</w:t>
      </w:r>
      <w:r w:rsidR="00705FFD">
        <w:rPr>
          <w:i/>
          <w:iCs/>
        </w:rPr>
        <w:t xml:space="preserve"> as proposed in [2].</w:t>
      </w:r>
    </w:p>
    <w:p w14:paraId="566DA0AD" w14:textId="5A232EDE" w:rsidR="00705FFD" w:rsidRPr="000E6372" w:rsidRDefault="00B474E0" w:rsidP="00C137C8">
      <w:r>
        <w:t>This will provide operators with flexible enhancement of NR scheduling capacity and/or performance to optimise their DSS deployments in the field.</w:t>
      </w:r>
    </w:p>
    <w:p w14:paraId="53CD9119" w14:textId="01D1D507" w:rsidR="00885580" w:rsidRDefault="00885580" w:rsidP="00885580">
      <w:pPr>
        <w:pStyle w:val="Heading1"/>
        <w:numPr>
          <w:ilvl w:val="0"/>
          <w:numId w:val="0"/>
        </w:numPr>
      </w:pPr>
      <w:r>
        <w:lastRenderedPageBreak/>
        <w:t>References</w:t>
      </w:r>
    </w:p>
    <w:p w14:paraId="2C6979C9" w14:textId="1F34FDD0" w:rsidR="00205A4B" w:rsidRDefault="00205A4B" w:rsidP="00205A4B">
      <w:pPr>
        <w:pStyle w:val="ListParagraph"/>
        <w:numPr>
          <w:ilvl w:val="0"/>
          <w:numId w:val="27"/>
        </w:numPr>
        <w:rPr>
          <w:sz w:val="20"/>
          <w:szCs w:val="20"/>
          <w:lang w:val="en-US"/>
        </w:rPr>
      </w:pPr>
      <w:r w:rsidRPr="00C11700">
        <w:rPr>
          <w:sz w:val="20"/>
          <w:szCs w:val="20"/>
          <w:lang w:val="en-US"/>
        </w:rPr>
        <w:t>R</w:t>
      </w:r>
      <w:r w:rsidR="003A7127" w:rsidRPr="00C11700">
        <w:rPr>
          <w:sz w:val="20"/>
          <w:szCs w:val="20"/>
          <w:lang w:val="en-US"/>
        </w:rPr>
        <w:t>P-193260</w:t>
      </w:r>
      <w:r w:rsidR="003A7127" w:rsidRPr="00C11700">
        <w:rPr>
          <w:sz w:val="20"/>
          <w:szCs w:val="20"/>
          <w:lang w:val="en-US"/>
        </w:rPr>
        <w:tab/>
        <w:t>New WID on NR Dynamic Spectrum Sharing (DSS)</w:t>
      </w:r>
    </w:p>
    <w:p w14:paraId="4EF9EA34" w14:textId="2E5AE299" w:rsidR="00705FFD" w:rsidRDefault="00705FFD" w:rsidP="00205A4B">
      <w:pPr>
        <w:pStyle w:val="ListParagraph"/>
        <w:numPr>
          <w:ilvl w:val="0"/>
          <w:numId w:val="27"/>
        </w:numPr>
        <w:rPr>
          <w:sz w:val="20"/>
          <w:szCs w:val="20"/>
          <w:lang w:val="en-US"/>
        </w:rPr>
      </w:pPr>
      <w:r>
        <w:rPr>
          <w:sz w:val="20"/>
          <w:szCs w:val="20"/>
          <w:lang w:val="en-US"/>
        </w:rPr>
        <w:t>RP-201762</w:t>
      </w:r>
      <w:r>
        <w:rPr>
          <w:sz w:val="20"/>
          <w:szCs w:val="20"/>
          <w:lang w:val="en-US"/>
        </w:rPr>
        <w:tab/>
      </w:r>
      <w:r w:rsidRPr="00705FFD">
        <w:rPr>
          <w:sz w:val="20"/>
          <w:szCs w:val="20"/>
          <w:lang w:val="en-US"/>
        </w:rPr>
        <w:t xml:space="preserve">Revised WID: NR </w:t>
      </w:r>
      <w:proofErr w:type="spellStart"/>
      <w:r w:rsidRPr="00705FFD">
        <w:rPr>
          <w:sz w:val="20"/>
          <w:szCs w:val="20"/>
          <w:lang w:val="en-US"/>
        </w:rPr>
        <w:t>Dyamic</w:t>
      </w:r>
      <w:proofErr w:type="spellEnd"/>
      <w:r w:rsidRPr="00705FFD">
        <w:rPr>
          <w:sz w:val="20"/>
          <w:szCs w:val="20"/>
          <w:lang w:val="en-US"/>
        </w:rPr>
        <w:t xml:space="preserve"> spectrum sharing (DSS)</w:t>
      </w:r>
    </w:p>
    <w:p w14:paraId="37D242FD" w14:textId="398B3089" w:rsidR="008F0F05" w:rsidRPr="000E6372" w:rsidRDefault="000E6372" w:rsidP="000E6372">
      <w:pPr>
        <w:pStyle w:val="ListParagraph"/>
        <w:numPr>
          <w:ilvl w:val="0"/>
          <w:numId w:val="27"/>
        </w:numPr>
        <w:rPr>
          <w:sz w:val="20"/>
          <w:szCs w:val="20"/>
          <w:lang w:val="en-US"/>
        </w:rPr>
      </w:pPr>
      <w:r w:rsidRPr="000E6372">
        <w:rPr>
          <w:sz w:val="20"/>
          <w:szCs w:val="20"/>
          <w:lang w:val="en-US"/>
        </w:rPr>
        <w:t>R1-2006470</w:t>
      </w:r>
      <w:r>
        <w:rPr>
          <w:sz w:val="20"/>
          <w:szCs w:val="20"/>
          <w:lang w:val="en-US"/>
        </w:rPr>
        <w:t xml:space="preserve"> </w:t>
      </w:r>
      <w:r w:rsidRPr="000E6372">
        <w:rPr>
          <w:sz w:val="20"/>
          <w:szCs w:val="20"/>
          <w:lang w:val="en-US"/>
        </w:rPr>
        <w:t>Extension of the Dynamic Spectrum Sharing (DSS) WID</w:t>
      </w:r>
    </w:p>
    <w:p w14:paraId="56CE27C5" w14:textId="77777777" w:rsidR="00205A4B" w:rsidRDefault="00205A4B" w:rsidP="003A7127"/>
    <w:sectPr w:rsidR="00205A4B" w:rsidSect="00B46E8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41204" w14:textId="77777777" w:rsidR="007B2F03" w:rsidRDefault="007B2F03">
      <w:r>
        <w:separator/>
      </w:r>
    </w:p>
  </w:endnote>
  <w:endnote w:type="continuationSeparator" w:id="0">
    <w:p w14:paraId="40EA9891" w14:textId="77777777" w:rsidR="007B2F03" w:rsidRDefault="007B2F03">
      <w:r>
        <w:continuationSeparator/>
      </w:r>
    </w:p>
  </w:endnote>
  <w:endnote w:type="continuationNotice" w:id="1">
    <w:p w14:paraId="2857350E" w14:textId="77777777" w:rsidR="007B2F03" w:rsidRDefault="007B2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2DA04" w14:textId="77777777" w:rsidR="00973542" w:rsidRDefault="00973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B314" w14:textId="77777777" w:rsidR="00973542" w:rsidRDefault="00973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20298" w14:textId="77777777" w:rsidR="00973542" w:rsidRDefault="00973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2429E" w14:textId="77777777" w:rsidR="007B2F03" w:rsidRDefault="007B2F03">
      <w:r>
        <w:separator/>
      </w:r>
    </w:p>
  </w:footnote>
  <w:footnote w:type="continuationSeparator" w:id="0">
    <w:p w14:paraId="04AF2E0D" w14:textId="77777777" w:rsidR="007B2F03" w:rsidRDefault="007B2F03">
      <w:r>
        <w:continuationSeparator/>
      </w:r>
    </w:p>
  </w:footnote>
  <w:footnote w:type="continuationNotice" w:id="1">
    <w:p w14:paraId="70A0014B" w14:textId="77777777" w:rsidR="007B2F03" w:rsidRDefault="007B2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853E0" w14:textId="77777777" w:rsidR="00973542" w:rsidRDefault="009735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1FCA0" w14:textId="77777777" w:rsidR="00973542" w:rsidRDefault="00973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09BB0" w14:textId="77777777" w:rsidR="00973542" w:rsidRDefault="009735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74F5B"/>
    <w:multiLevelType w:val="hybridMultilevel"/>
    <w:tmpl w:val="378673EC"/>
    <w:lvl w:ilvl="0" w:tplc="8D98A6B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7F37CE"/>
    <w:multiLevelType w:val="hybridMultilevel"/>
    <w:tmpl w:val="C7B4BE36"/>
    <w:lvl w:ilvl="0" w:tplc="4634AD76">
      <w:start w:val="38"/>
      <w:numFmt w:val="bullet"/>
      <w:lvlText w:val="-"/>
      <w:lvlJc w:val="left"/>
      <w:pPr>
        <w:ind w:left="720" w:hanging="360"/>
      </w:pPr>
      <w:rPr>
        <w:rFonts w:ascii="Times New Roman" w:eastAsia="SimSun" w:hAnsi="Times New Roman" w:cs="Times New Roman" w:hint="default"/>
      </w:rPr>
    </w:lvl>
    <w:lvl w:ilvl="1" w:tplc="3252D880">
      <w:start w:val="24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53DBA"/>
    <w:multiLevelType w:val="hybridMultilevel"/>
    <w:tmpl w:val="C30C21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6C5A4C"/>
    <w:multiLevelType w:val="hybridMultilevel"/>
    <w:tmpl w:val="9CB0A1EA"/>
    <w:lvl w:ilvl="0" w:tplc="916A2E6E">
      <w:start w:val="38"/>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B94F1F"/>
    <w:multiLevelType w:val="hybridMultilevel"/>
    <w:tmpl w:val="36A27798"/>
    <w:lvl w:ilvl="0" w:tplc="70C47E1E">
      <w:start w:val="1"/>
      <w:numFmt w:val="bullet"/>
      <w:lvlText w:val="•"/>
      <w:lvlJc w:val="left"/>
      <w:pPr>
        <w:tabs>
          <w:tab w:val="num" w:pos="720"/>
        </w:tabs>
        <w:ind w:left="720" w:hanging="360"/>
      </w:pPr>
      <w:rPr>
        <w:rFonts w:ascii="Arial" w:hAnsi="Arial" w:hint="default"/>
      </w:rPr>
    </w:lvl>
    <w:lvl w:ilvl="1" w:tplc="BF8C113A" w:tentative="1">
      <w:start w:val="1"/>
      <w:numFmt w:val="bullet"/>
      <w:lvlText w:val="•"/>
      <w:lvlJc w:val="left"/>
      <w:pPr>
        <w:tabs>
          <w:tab w:val="num" w:pos="1440"/>
        </w:tabs>
        <w:ind w:left="1440" w:hanging="360"/>
      </w:pPr>
      <w:rPr>
        <w:rFonts w:ascii="Arial" w:hAnsi="Arial" w:hint="default"/>
      </w:rPr>
    </w:lvl>
    <w:lvl w:ilvl="2" w:tplc="3D5EB4B4">
      <w:start w:val="238"/>
      <w:numFmt w:val="bullet"/>
      <w:lvlText w:val="•"/>
      <w:lvlJc w:val="left"/>
      <w:pPr>
        <w:tabs>
          <w:tab w:val="num" w:pos="2160"/>
        </w:tabs>
        <w:ind w:left="2160" w:hanging="360"/>
      </w:pPr>
      <w:rPr>
        <w:rFonts w:ascii="Arial" w:hAnsi="Arial" w:hint="default"/>
      </w:rPr>
    </w:lvl>
    <w:lvl w:ilvl="3" w:tplc="FDE6F192" w:tentative="1">
      <w:start w:val="1"/>
      <w:numFmt w:val="bullet"/>
      <w:lvlText w:val="•"/>
      <w:lvlJc w:val="left"/>
      <w:pPr>
        <w:tabs>
          <w:tab w:val="num" w:pos="2880"/>
        </w:tabs>
        <w:ind w:left="2880" w:hanging="360"/>
      </w:pPr>
      <w:rPr>
        <w:rFonts w:ascii="Arial" w:hAnsi="Arial" w:hint="default"/>
      </w:rPr>
    </w:lvl>
    <w:lvl w:ilvl="4" w:tplc="21AE76C2" w:tentative="1">
      <w:start w:val="1"/>
      <w:numFmt w:val="bullet"/>
      <w:lvlText w:val="•"/>
      <w:lvlJc w:val="left"/>
      <w:pPr>
        <w:tabs>
          <w:tab w:val="num" w:pos="3600"/>
        </w:tabs>
        <w:ind w:left="3600" w:hanging="360"/>
      </w:pPr>
      <w:rPr>
        <w:rFonts w:ascii="Arial" w:hAnsi="Arial" w:hint="default"/>
      </w:rPr>
    </w:lvl>
    <w:lvl w:ilvl="5" w:tplc="86D299D2" w:tentative="1">
      <w:start w:val="1"/>
      <w:numFmt w:val="bullet"/>
      <w:lvlText w:val="•"/>
      <w:lvlJc w:val="left"/>
      <w:pPr>
        <w:tabs>
          <w:tab w:val="num" w:pos="4320"/>
        </w:tabs>
        <w:ind w:left="4320" w:hanging="360"/>
      </w:pPr>
      <w:rPr>
        <w:rFonts w:ascii="Arial" w:hAnsi="Arial" w:hint="default"/>
      </w:rPr>
    </w:lvl>
    <w:lvl w:ilvl="6" w:tplc="BBCC22D8" w:tentative="1">
      <w:start w:val="1"/>
      <w:numFmt w:val="bullet"/>
      <w:lvlText w:val="•"/>
      <w:lvlJc w:val="left"/>
      <w:pPr>
        <w:tabs>
          <w:tab w:val="num" w:pos="5040"/>
        </w:tabs>
        <w:ind w:left="5040" w:hanging="360"/>
      </w:pPr>
      <w:rPr>
        <w:rFonts w:ascii="Arial" w:hAnsi="Arial" w:hint="default"/>
      </w:rPr>
    </w:lvl>
    <w:lvl w:ilvl="7" w:tplc="2A28C230" w:tentative="1">
      <w:start w:val="1"/>
      <w:numFmt w:val="bullet"/>
      <w:lvlText w:val="•"/>
      <w:lvlJc w:val="left"/>
      <w:pPr>
        <w:tabs>
          <w:tab w:val="num" w:pos="5760"/>
        </w:tabs>
        <w:ind w:left="5760" w:hanging="360"/>
      </w:pPr>
      <w:rPr>
        <w:rFonts w:ascii="Arial" w:hAnsi="Arial" w:hint="default"/>
      </w:rPr>
    </w:lvl>
    <w:lvl w:ilvl="8" w:tplc="379A97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A0B51"/>
    <w:multiLevelType w:val="hybridMultilevel"/>
    <w:tmpl w:val="24206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B3D1E"/>
    <w:multiLevelType w:val="hybridMultilevel"/>
    <w:tmpl w:val="C6D2FCBC"/>
    <w:lvl w:ilvl="0" w:tplc="474EFB2E">
      <w:start w:val="38"/>
      <w:numFmt w:val="bullet"/>
      <w:lvlText w:val="-"/>
      <w:lvlJc w:val="left"/>
      <w:pPr>
        <w:ind w:left="1380" w:hanging="10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9"/>
  </w:num>
  <w:num w:numId="3">
    <w:abstractNumId w:val="1"/>
  </w:num>
  <w:num w:numId="4">
    <w:abstractNumId w:val="3"/>
  </w:num>
  <w:num w:numId="5">
    <w:abstractNumId w:val="17"/>
  </w:num>
  <w:num w:numId="6">
    <w:abstractNumId w:val="31"/>
  </w:num>
  <w:num w:numId="7">
    <w:abstractNumId w:val="20"/>
  </w:num>
  <w:num w:numId="8">
    <w:abstractNumId w:val="16"/>
  </w:num>
  <w:num w:numId="9">
    <w:abstractNumId w:val="35"/>
  </w:num>
  <w:num w:numId="10">
    <w:abstractNumId w:val="5"/>
  </w:num>
  <w:num w:numId="11">
    <w:abstractNumId w:val="22"/>
  </w:num>
  <w:num w:numId="12">
    <w:abstractNumId w:val="4"/>
  </w:num>
  <w:num w:numId="13">
    <w:abstractNumId w:val="13"/>
  </w:num>
  <w:num w:numId="14">
    <w:abstractNumId w:val="27"/>
  </w:num>
  <w:num w:numId="15">
    <w:abstractNumId w:val="18"/>
  </w:num>
  <w:num w:numId="16">
    <w:abstractNumId w:val="2"/>
  </w:num>
  <w:num w:numId="17">
    <w:abstractNumId w:val="26"/>
  </w:num>
  <w:num w:numId="18">
    <w:abstractNumId w:val="15"/>
  </w:num>
  <w:num w:numId="19">
    <w:abstractNumId w:val="21"/>
  </w:num>
  <w:num w:numId="20">
    <w:abstractNumId w:val="34"/>
  </w:num>
  <w:num w:numId="21">
    <w:abstractNumId w:val="36"/>
  </w:num>
  <w:num w:numId="22">
    <w:abstractNumId w:val="25"/>
  </w:num>
  <w:num w:numId="23">
    <w:abstractNumId w:val="12"/>
  </w:num>
  <w:num w:numId="24">
    <w:abstractNumId w:val="7"/>
  </w:num>
  <w:num w:numId="25">
    <w:abstractNumId w:val="32"/>
  </w:num>
  <w:num w:numId="26">
    <w:abstractNumId w:val="28"/>
  </w:num>
  <w:num w:numId="27">
    <w:abstractNumId w:val="9"/>
  </w:num>
  <w:num w:numId="28">
    <w:abstractNumId w:val="30"/>
  </w:num>
  <w:num w:numId="29">
    <w:abstractNumId w:val="24"/>
  </w:num>
  <w:num w:numId="30">
    <w:abstractNumId w:val="6"/>
  </w:num>
  <w:num w:numId="31">
    <w:abstractNumId w:val="23"/>
  </w:num>
  <w:num w:numId="32">
    <w:abstractNumId w:val="0"/>
  </w:num>
  <w:num w:numId="33">
    <w:abstractNumId w:val="19"/>
  </w:num>
  <w:num w:numId="34">
    <w:abstractNumId w:val="14"/>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1"/>
  </w:num>
  <w:num w:numId="3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637"/>
    <w:rsid w:val="000D40E7"/>
    <w:rsid w:val="000D584F"/>
    <w:rsid w:val="000D76BC"/>
    <w:rsid w:val="000D7750"/>
    <w:rsid w:val="000E071E"/>
    <w:rsid w:val="000E0DEE"/>
    <w:rsid w:val="000E181D"/>
    <w:rsid w:val="000E27AA"/>
    <w:rsid w:val="000E337A"/>
    <w:rsid w:val="000E34FD"/>
    <w:rsid w:val="000E36C7"/>
    <w:rsid w:val="000E4350"/>
    <w:rsid w:val="000E4376"/>
    <w:rsid w:val="000E4408"/>
    <w:rsid w:val="000E53AB"/>
    <w:rsid w:val="000E5716"/>
    <w:rsid w:val="000E6337"/>
    <w:rsid w:val="000E6372"/>
    <w:rsid w:val="000E6A81"/>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A04"/>
    <w:rsid w:val="00115C88"/>
    <w:rsid w:val="0011644A"/>
    <w:rsid w:val="00117332"/>
    <w:rsid w:val="0011784B"/>
    <w:rsid w:val="001204DD"/>
    <w:rsid w:val="00122839"/>
    <w:rsid w:val="00122EF6"/>
    <w:rsid w:val="001237AC"/>
    <w:rsid w:val="00124C77"/>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10E"/>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A13"/>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06A"/>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E9B"/>
    <w:rsid w:val="002C7276"/>
    <w:rsid w:val="002C742F"/>
    <w:rsid w:val="002C770F"/>
    <w:rsid w:val="002C7CFF"/>
    <w:rsid w:val="002D0BC6"/>
    <w:rsid w:val="002D12DB"/>
    <w:rsid w:val="002D17C5"/>
    <w:rsid w:val="002D365F"/>
    <w:rsid w:val="002D51DF"/>
    <w:rsid w:val="002D58D7"/>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646"/>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458"/>
    <w:rsid w:val="003A7127"/>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9F1"/>
    <w:rsid w:val="003B6EC0"/>
    <w:rsid w:val="003B7272"/>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4AD9"/>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075"/>
    <w:rsid w:val="0041443C"/>
    <w:rsid w:val="004145C0"/>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24C"/>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1C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535"/>
    <w:rsid w:val="005A704D"/>
    <w:rsid w:val="005B3C6D"/>
    <w:rsid w:val="005B4045"/>
    <w:rsid w:val="005B609E"/>
    <w:rsid w:val="005B6DF6"/>
    <w:rsid w:val="005B7B7D"/>
    <w:rsid w:val="005C0A2B"/>
    <w:rsid w:val="005C1948"/>
    <w:rsid w:val="005C22F9"/>
    <w:rsid w:val="005C2576"/>
    <w:rsid w:val="005C263C"/>
    <w:rsid w:val="005C2679"/>
    <w:rsid w:val="005C298C"/>
    <w:rsid w:val="005C4BFB"/>
    <w:rsid w:val="005C5870"/>
    <w:rsid w:val="005D059A"/>
    <w:rsid w:val="005D07C5"/>
    <w:rsid w:val="005D21B7"/>
    <w:rsid w:val="005D2DAD"/>
    <w:rsid w:val="005D4302"/>
    <w:rsid w:val="005D5A20"/>
    <w:rsid w:val="005D6F0A"/>
    <w:rsid w:val="005D786C"/>
    <w:rsid w:val="005E00E5"/>
    <w:rsid w:val="005E0148"/>
    <w:rsid w:val="005E049F"/>
    <w:rsid w:val="005E0BB6"/>
    <w:rsid w:val="005E3073"/>
    <w:rsid w:val="005E316A"/>
    <w:rsid w:val="005E7088"/>
    <w:rsid w:val="005E7C21"/>
    <w:rsid w:val="005E7E1B"/>
    <w:rsid w:val="005F0108"/>
    <w:rsid w:val="005F0291"/>
    <w:rsid w:val="005F0ECC"/>
    <w:rsid w:val="005F21A5"/>
    <w:rsid w:val="005F2470"/>
    <w:rsid w:val="005F28C6"/>
    <w:rsid w:val="005F2D43"/>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750"/>
    <w:rsid w:val="0067096D"/>
    <w:rsid w:val="00670AF4"/>
    <w:rsid w:val="006719E0"/>
    <w:rsid w:val="0067269D"/>
    <w:rsid w:val="00672988"/>
    <w:rsid w:val="00672C64"/>
    <w:rsid w:val="006736BF"/>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0E68"/>
    <w:rsid w:val="006915D7"/>
    <w:rsid w:val="00692814"/>
    <w:rsid w:val="006932E7"/>
    <w:rsid w:val="00693347"/>
    <w:rsid w:val="0069334C"/>
    <w:rsid w:val="006948EF"/>
    <w:rsid w:val="00696D63"/>
    <w:rsid w:val="006A032F"/>
    <w:rsid w:val="006A0DD3"/>
    <w:rsid w:val="006A146E"/>
    <w:rsid w:val="006A1BEB"/>
    <w:rsid w:val="006A2646"/>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28D1"/>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FFD"/>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BEF"/>
    <w:rsid w:val="00737A31"/>
    <w:rsid w:val="00742A6A"/>
    <w:rsid w:val="00742B44"/>
    <w:rsid w:val="0074656E"/>
    <w:rsid w:val="007472D5"/>
    <w:rsid w:val="0075015A"/>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2F03"/>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797"/>
    <w:rsid w:val="007E79C5"/>
    <w:rsid w:val="007F0798"/>
    <w:rsid w:val="007F2845"/>
    <w:rsid w:val="007F2A69"/>
    <w:rsid w:val="007F38A2"/>
    <w:rsid w:val="007F43BC"/>
    <w:rsid w:val="007F4740"/>
    <w:rsid w:val="008006C6"/>
    <w:rsid w:val="00800C52"/>
    <w:rsid w:val="0080153E"/>
    <w:rsid w:val="008018C8"/>
    <w:rsid w:val="0080263A"/>
    <w:rsid w:val="0080329D"/>
    <w:rsid w:val="00804E26"/>
    <w:rsid w:val="008055A9"/>
    <w:rsid w:val="0080742D"/>
    <w:rsid w:val="008100AC"/>
    <w:rsid w:val="00810C05"/>
    <w:rsid w:val="0081151E"/>
    <w:rsid w:val="00811A5F"/>
    <w:rsid w:val="00812498"/>
    <w:rsid w:val="008127E6"/>
    <w:rsid w:val="0081336E"/>
    <w:rsid w:val="00813928"/>
    <w:rsid w:val="008154EC"/>
    <w:rsid w:val="008157A7"/>
    <w:rsid w:val="00820DC7"/>
    <w:rsid w:val="00820FFB"/>
    <w:rsid w:val="00821698"/>
    <w:rsid w:val="008221FE"/>
    <w:rsid w:val="00822BF5"/>
    <w:rsid w:val="00824894"/>
    <w:rsid w:val="00824FFF"/>
    <w:rsid w:val="00825366"/>
    <w:rsid w:val="00825E84"/>
    <w:rsid w:val="00825F24"/>
    <w:rsid w:val="00826C7B"/>
    <w:rsid w:val="00826DD9"/>
    <w:rsid w:val="00826E01"/>
    <w:rsid w:val="008277A8"/>
    <w:rsid w:val="008278B6"/>
    <w:rsid w:val="00827B5C"/>
    <w:rsid w:val="008307ED"/>
    <w:rsid w:val="00830B3B"/>
    <w:rsid w:val="00832DEA"/>
    <w:rsid w:val="0083350F"/>
    <w:rsid w:val="00834358"/>
    <w:rsid w:val="008346BD"/>
    <w:rsid w:val="00834923"/>
    <w:rsid w:val="008352E3"/>
    <w:rsid w:val="008359EB"/>
    <w:rsid w:val="00836B7A"/>
    <w:rsid w:val="00837B90"/>
    <w:rsid w:val="008409AA"/>
    <w:rsid w:val="00840FB8"/>
    <w:rsid w:val="00842A32"/>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0F05"/>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D71"/>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F15"/>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F29"/>
    <w:rsid w:val="00960446"/>
    <w:rsid w:val="009610ED"/>
    <w:rsid w:val="00961EE9"/>
    <w:rsid w:val="009633BB"/>
    <w:rsid w:val="00963A36"/>
    <w:rsid w:val="009641C6"/>
    <w:rsid w:val="009643DA"/>
    <w:rsid w:val="0096485F"/>
    <w:rsid w:val="00965C40"/>
    <w:rsid w:val="00967354"/>
    <w:rsid w:val="00971592"/>
    <w:rsid w:val="00971617"/>
    <w:rsid w:val="009717F8"/>
    <w:rsid w:val="00971DDF"/>
    <w:rsid w:val="0097225C"/>
    <w:rsid w:val="009731D6"/>
    <w:rsid w:val="00973542"/>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1C1"/>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95F"/>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6E84"/>
    <w:rsid w:val="00B470A7"/>
    <w:rsid w:val="00B474E0"/>
    <w:rsid w:val="00B500CD"/>
    <w:rsid w:val="00B5109D"/>
    <w:rsid w:val="00B5239C"/>
    <w:rsid w:val="00B53259"/>
    <w:rsid w:val="00B53893"/>
    <w:rsid w:val="00B548C2"/>
    <w:rsid w:val="00B54B6A"/>
    <w:rsid w:val="00B55428"/>
    <w:rsid w:val="00B5561C"/>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986"/>
    <w:rsid w:val="00BC1AD9"/>
    <w:rsid w:val="00BC3257"/>
    <w:rsid w:val="00BC32E7"/>
    <w:rsid w:val="00BC4F81"/>
    <w:rsid w:val="00BC5670"/>
    <w:rsid w:val="00BC58B9"/>
    <w:rsid w:val="00BD2F13"/>
    <w:rsid w:val="00BD3056"/>
    <w:rsid w:val="00BD3846"/>
    <w:rsid w:val="00BD3E68"/>
    <w:rsid w:val="00BD4E05"/>
    <w:rsid w:val="00BD598A"/>
    <w:rsid w:val="00BD5C7A"/>
    <w:rsid w:val="00BD5CA1"/>
    <w:rsid w:val="00BD6290"/>
    <w:rsid w:val="00BD723F"/>
    <w:rsid w:val="00BD75B4"/>
    <w:rsid w:val="00BD7D14"/>
    <w:rsid w:val="00BD7F82"/>
    <w:rsid w:val="00BE02B4"/>
    <w:rsid w:val="00BE28C1"/>
    <w:rsid w:val="00BE3492"/>
    <w:rsid w:val="00BE3B62"/>
    <w:rsid w:val="00BE4EC9"/>
    <w:rsid w:val="00BE631E"/>
    <w:rsid w:val="00BE6BEC"/>
    <w:rsid w:val="00BF0CCF"/>
    <w:rsid w:val="00BF0FC5"/>
    <w:rsid w:val="00BF10BC"/>
    <w:rsid w:val="00BF1D04"/>
    <w:rsid w:val="00BF21AC"/>
    <w:rsid w:val="00BF2E53"/>
    <w:rsid w:val="00BF352A"/>
    <w:rsid w:val="00BF3669"/>
    <w:rsid w:val="00BF3C0D"/>
    <w:rsid w:val="00BF4BC7"/>
    <w:rsid w:val="00BF6252"/>
    <w:rsid w:val="00BF711C"/>
    <w:rsid w:val="00BF748E"/>
    <w:rsid w:val="00BF789B"/>
    <w:rsid w:val="00C03309"/>
    <w:rsid w:val="00C037E0"/>
    <w:rsid w:val="00C072FE"/>
    <w:rsid w:val="00C11700"/>
    <w:rsid w:val="00C11ADE"/>
    <w:rsid w:val="00C126E0"/>
    <w:rsid w:val="00C128BC"/>
    <w:rsid w:val="00C12E39"/>
    <w:rsid w:val="00C137C8"/>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A7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45"/>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4F78"/>
    <w:rsid w:val="00CB6795"/>
    <w:rsid w:val="00CB71F8"/>
    <w:rsid w:val="00CC180A"/>
    <w:rsid w:val="00CC26DB"/>
    <w:rsid w:val="00CC300C"/>
    <w:rsid w:val="00CC35AE"/>
    <w:rsid w:val="00CC3DAA"/>
    <w:rsid w:val="00CC4C2C"/>
    <w:rsid w:val="00CC5057"/>
    <w:rsid w:val="00CD078F"/>
    <w:rsid w:val="00CD0ACE"/>
    <w:rsid w:val="00CD121E"/>
    <w:rsid w:val="00CD185D"/>
    <w:rsid w:val="00CD28F0"/>
    <w:rsid w:val="00CD3ED8"/>
    <w:rsid w:val="00CD497A"/>
    <w:rsid w:val="00CD761D"/>
    <w:rsid w:val="00CD76B5"/>
    <w:rsid w:val="00CD78B9"/>
    <w:rsid w:val="00CE1135"/>
    <w:rsid w:val="00CE1D01"/>
    <w:rsid w:val="00CE2323"/>
    <w:rsid w:val="00CE2346"/>
    <w:rsid w:val="00CE692E"/>
    <w:rsid w:val="00CE6F0F"/>
    <w:rsid w:val="00CF002F"/>
    <w:rsid w:val="00CF0246"/>
    <w:rsid w:val="00CF2483"/>
    <w:rsid w:val="00CF24E2"/>
    <w:rsid w:val="00CF393D"/>
    <w:rsid w:val="00CF4ABD"/>
    <w:rsid w:val="00CF4CF2"/>
    <w:rsid w:val="00CF5A53"/>
    <w:rsid w:val="00CF5D28"/>
    <w:rsid w:val="00CF68B8"/>
    <w:rsid w:val="00CF6C26"/>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0FC1"/>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261"/>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05E8"/>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893"/>
    <w:rsid w:val="00E37BE5"/>
    <w:rsid w:val="00E41A27"/>
    <w:rsid w:val="00E41AB4"/>
    <w:rsid w:val="00E42737"/>
    <w:rsid w:val="00E44906"/>
    <w:rsid w:val="00E45C77"/>
    <w:rsid w:val="00E4608B"/>
    <w:rsid w:val="00E46D7F"/>
    <w:rsid w:val="00E501D3"/>
    <w:rsid w:val="00E53A01"/>
    <w:rsid w:val="00E564C4"/>
    <w:rsid w:val="00E567C9"/>
    <w:rsid w:val="00E57D5C"/>
    <w:rsid w:val="00E57E1A"/>
    <w:rsid w:val="00E604C4"/>
    <w:rsid w:val="00E60809"/>
    <w:rsid w:val="00E61300"/>
    <w:rsid w:val="00E62B94"/>
    <w:rsid w:val="00E635B9"/>
    <w:rsid w:val="00E65D15"/>
    <w:rsid w:val="00E66CD8"/>
    <w:rsid w:val="00E67802"/>
    <w:rsid w:val="00E67EE5"/>
    <w:rsid w:val="00E7013A"/>
    <w:rsid w:val="00E7219E"/>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408"/>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5F2"/>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683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1E0"/>
    <w:rsid w:val="00F80318"/>
    <w:rsid w:val="00F803D0"/>
    <w:rsid w:val="00F80703"/>
    <w:rsid w:val="00F80948"/>
    <w:rsid w:val="00F81387"/>
    <w:rsid w:val="00F82134"/>
    <w:rsid w:val="00F822E3"/>
    <w:rsid w:val="00F82866"/>
    <w:rsid w:val="00F841FB"/>
    <w:rsid w:val="00F84421"/>
    <w:rsid w:val="00F8449B"/>
    <w:rsid w:val="00F84B44"/>
    <w:rsid w:val="00F85691"/>
    <w:rsid w:val="00F85A77"/>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AF1"/>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1D2"/>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Tabellengitternetz2">
    <w:name w:val="Tabellengitternetz2"/>
    <w:basedOn w:val="TableNormal"/>
    <w:next w:val="TableGrid"/>
    <w:rsid w:val="005E7C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812469">
      <w:bodyDiv w:val="1"/>
      <w:marLeft w:val="0"/>
      <w:marRight w:val="0"/>
      <w:marTop w:val="0"/>
      <w:marBottom w:val="0"/>
      <w:divBdr>
        <w:top w:val="none" w:sz="0" w:space="0" w:color="auto"/>
        <w:left w:val="none" w:sz="0" w:space="0" w:color="auto"/>
        <w:bottom w:val="none" w:sz="0" w:space="0" w:color="auto"/>
        <w:right w:val="none" w:sz="0" w:space="0" w:color="auto"/>
      </w:divBdr>
      <w:divsChild>
        <w:div w:id="1451513556">
          <w:marLeft w:val="446"/>
          <w:marRight w:val="0"/>
          <w:marTop w:val="0"/>
          <w:marBottom w:val="0"/>
          <w:divBdr>
            <w:top w:val="none" w:sz="0" w:space="0" w:color="auto"/>
            <w:left w:val="none" w:sz="0" w:space="0" w:color="auto"/>
            <w:bottom w:val="none" w:sz="0" w:space="0" w:color="auto"/>
            <w:right w:val="none" w:sz="0" w:space="0" w:color="auto"/>
          </w:divBdr>
        </w:div>
        <w:div w:id="524444458">
          <w:marLeft w:val="446"/>
          <w:marRight w:val="0"/>
          <w:marTop w:val="0"/>
          <w:marBottom w:val="0"/>
          <w:divBdr>
            <w:top w:val="none" w:sz="0" w:space="0" w:color="auto"/>
            <w:left w:val="none" w:sz="0" w:space="0" w:color="auto"/>
            <w:bottom w:val="none" w:sz="0" w:space="0" w:color="auto"/>
            <w:right w:val="none" w:sz="0" w:space="0" w:color="auto"/>
          </w:divBdr>
        </w:div>
        <w:div w:id="1657685516">
          <w:marLeft w:val="806"/>
          <w:marRight w:val="0"/>
          <w:marTop w:val="0"/>
          <w:marBottom w:val="0"/>
          <w:divBdr>
            <w:top w:val="none" w:sz="0" w:space="0" w:color="auto"/>
            <w:left w:val="none" w:sz="0" w:space="0" w:color="auto"/>
            <w:bottom w:val="none" w:sz="0" w:space="0" w:color="auto"/>
            <w:right w:val="none" w:sz="0" w:space="0" w:color="auto"/>
          </w:divBdr>
        </w:div>
        <w:div w:id="504519929">
          <w:marLeft w:val="806"/>
          <w:marRight w:val="0"/>
          <w:marTop w:val="0"/>
          <w:marBottom w:val="0"/>
          <w:divBdr>
            <w:top w:val="none" w:sz="0" w:space="0" w:color="auto"/>
            <w:left w:val="none" w:sz="0" w:space="0" w:color="auto"/>
            <w:bottom w:val="none" w:sz="0" w:space="0" w:color="auto"/>
            <w:right w:val="none" w:sz="0" w:space="0" w:color="auto"/>
          </w:divBdr>
        </w:div>
        <w:div w:id="1779641663">
          <w:marLeft w:val="446"/>
          <w:marRight w:val="0"/>
          <w:marTop w:val="0"/>
          <w:marBottom w:val="0"/>
          <w:divBdr>
            <w:top w:val="none" w:sz="0" w:space="0" w:color="auto"/>
            <w:left w:val="none" w:sz="0" w:space="0" w:color="auto"/>
            <w:bottom w:val="none" w:sz="0" w:space="0" w:color="auto"/>
            <w:right w:val="none" w:sz="0" w:space="0" w:color="auto"/>
          </w:divBdr>
        </w:div>
        <w:div w:id="922563804">
          <w:marLeft w:val="806"/>
          <w:marRight w:val="0"/>
          <w:marTop w:val="0"/>
          <w:marBottom w:val="0"/>
          <w:divBdr>
            <w:top w:val="none" w:sz="0" w:space="0" w:color="auto"/>
            <w:left w:val="none" w:sz="0" w:space="0" w:color="auto"/>
            <w:bottom w:val="none" w:sz="0" w:space="0" w:color="auto"/>
            <w:right w:val="none" w:sz="0" w:space="0" w:color="auto"/>
          </w:divBdr>
        </w:div>
        <w:div w:id="245649712">
          <w:marLeft w:val="806"/>
          <w:marRight w:val="0"/>
          <w:marTop w:val="0"/>
          <w:marBottom w:val="0"/>
          <w:divBdr>
            <w:top w:val="none" w:sz="0" w:space="0" w:color="auto"/>
            <w:left w:val="none" w:sz="0" w:space="0" w:color="auto"/>
            <w:bottom w:val="none" w:sz="0" w:space="0" w:color="auto"/>
            <w:right w:val="none" w:sz="0" w:space="0" w:color="auto"/>
          </w:divBdr>
        </w:div>
        <w:div w:id="1607083185">
          <w:marLeft w:val="806"/>
          <w:marRight w:val="0"/>
          <w:marTop w:val="0"/>
          <w:marBottom w:val="0"/>
          <w:divBdr>
            <w:top w:val="none" w:sz="0" w:space="0" w:color="auto"/>
            <w:left w:val="none" w:sz="0" w:space="0" w:color="auto"/>
            <w:bottom w:val="none" w:sz="0" w:space="0" w:color="auto"/>
            <w:right w:val="none" w:sz="0" w:space="0" w:color="auto"/>
          </w:divBdr>
        </w:div>
        <w:div w:id="1463230676">
          <w:marLeft w:val="446"/>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563653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126424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8568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5AIRPNAIUNRU-1830940522-8190</_dlc_DocId>
    <_dlc_DocIdUrl xmlns="71c5aaf6-e6ce-465b-b873-5148d2a4c105">
      <Url>https://nokia.sharepoint.com/sites/c5g/5gradio/_layouts/15/DocIdRedir.aspx?ID=5AIRPNAIUNRU-1830940522-8190</Url>
      <Description>5AIRPNAIUNRU-1830940522-8190</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150FC9-77B4-4CCA-91EB-2D48C6D0F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E017495-63D1-4AC3-88ED-C4821D497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991</Words>
  <Characters>4838</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2020-09-07T21:19:00Z</dcterms:created>
  <dcterms:modified xsi:type="dcterms:W3CDTF">2020-09-07T21:19:00Z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83a15690-bfe0-4712-9d02-73c0a7d976cc</vt:lpwstr>
  </property>
</Properties>
</file>